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79AAA8E7" wp14:editId="231EAA8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49B" w:rsidRDefault="004B249B">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B249B" w:rsidRDefault="004B249B">
                      <w:r>
                        <w:rPr>
                          <w:noProof/>
                          <w:lang w:eastAsia="en-GB"/>
                        </w:rPr>
                        <w:drawing>
                          <wp:inline distT="0" distB="0" distL="0" distR="0" wp14:anchorId="66E3FDAD" wp14:editId="5387BA2D">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676B10" w:rsidRDefault="00F4367A">
      <w:pPr>
        <w:tabs>
          <w:tab w:val="left" w:pos="2160"/>
        </w:tabs>
        <w:rPr>
          <w:rFonts w:cs="Arial"/>
          <w:b/>
          <w:bCs/>
        </w:rPr>
      </w:pPr>
      <w:r>
        <w:rPr>
          <w:rFonts w:cs="Arial"/>
          <w:b/>
          <w:bCs/>
        </w:rPr>
        <w:t>To:</w:t>
      </w:r>
      <w:r w:rsidR="00EA2FDD">
        <w:rPr>
          <w:rFonts w:cs="Arial"/>
          <w:b/>
          <w:bCs/>
        </w:rPr>
        <w:tab/>
      </w:r>
      <w:r>
        <w:rPr>
          <w:rFonts w:cs="Arial"/>
          <w:b/>
          <w:bCs/>
        </w:rPr>
        <w:t>City Executive Board</w:t>
      </w:r>
    </w:p>
    <w:p w:rsidR="00F4367A" w:rsidRDefault="00676B10">
      <w:pPr>
        <w:tabs>
          <w:tab w:val="left" w:pos="2160"/>
        </w:tabs>
        <w:rPr>
          <w:rFonts w:cs="Arial"/>
          <w:b/>
          <w:bCs/>
        </w:rPr>
      </w:pPr>
      <w:r>
        <w:rPr>
          <w:rFonts w:cs="Arial"/>
          <w:b/>
          <w:bCs/>
        </w:rPr>
        <w:tab/>
        <w:t>Council</w:t>
      </w:r>
      <w:r w:rsidR="00F4367A">
        <w:rPr>
          <w:rFonts w:cs="Arial"/>
          <w:b/>
          <w:bCs/>
        </w:rPr>
        <w:tab/>
      </w:r>
    </w:p>
    <w:p w:rsidR="00F4367A" w:rsidRDefault="00F4367A">
      <w:pPr>
        <w:rPr>
          <w:rFonts w:cs="Arial"/>
          <w:b/>
          <w:bCs/>
        </w:rPr>
      </w:pPr>
    </w:p>
    <w:p w:rsidR="00676B10" w:rsidRDefault="00F4367A">
      <w:pPr>
        <w:tabs>
          <w:tab w:val="left" w:pos="2160"/>
          <w:tab w:val="left" w:pos="6300"/>
          <w:tab w:val="left" w:pos="7380"/>
        </w:tabs>
        <w:rPr>
          <w:rFonts w:cs="Arial"/>
          <w:b/>
          <w:bCs/>
        </w:rPr>
      </w:pPr>
      <w:r>
        <w:rPr>
          <w:rFonts w:cs="Arial"/>
          <w:b/>
          <w:bCs/>
        </w:rPr>
        <w:t>Date:</w:t>
      </w:r>
      <w:r w:rsidR="00B56C75">
        <w:rPr>
          <w:rFonts w:cs="Arial"/>
          <w:b/>
          <w:bCs/>
        </w:rPr>
        <w:tab/>
        <w:t>12</w:t>
      </w:r>
      <w:r w:rsidR="00B56C75" w:rsidRPr="00B56C75">
        <w:rPr>
          <w:rFonts w:cs="Arial"/>
          <w:b/>
          <w:bCs/>
          <w:vertAlign w:val="superscript"/>
        </w:rPr>
        <w:t>th</w:t>
      </w:r>
      <w:r w:rsidR="00B56C75">
        <w:rPr>
          <w:rFonts w:cs="Arial"/>
          <w:b/>
          <w:bCs/>
        </w:rPr>
        <w:t xml:space="preserve"> February 2015</w:t>
      </w:r>
    </w:p>
    <w:p w:rsidR="00F4367A" w:rsidRDefault="00676B10">
      <w:pPr>
        <w:tabs>
          <w:tab w:val="left" w:pos="2160"/>
          <w:tab w:val="left" w:pos="6300"/>
          <w:tab w:val="left" w:pos="7380"/>
        </w:tabs>
        <w:rPr>
          <w:rFonts w:cs="Arial"/>
          <w:b/>
          <w:bCs/>
        </w:rPr>
      </w:pPr>
      <w:r>
        <w:rPr>
          <w:rFonts w:cs="Arial"/>
          <w:b/>
          <w:bCs/>
        </w:rPr>
        <w:tab/>
        <w:t>18</w:t>
      </w:r>
      <w:r w:rsidRPr="00676B10">
        <w:rPr>
          <w:rFonts w:cs="Arial"/>
          <w:b/>
          <w:bCs/>
          <w:vertAlign w:val="superscript"/>
        </w:rPr>
        <w:t>th</w:t>
      </w:r>
      <w:r>
        <w:rPr>
          <w:rFonts w:cs="Arial"/>
          <w:b/>
          <w:bCs/>
        </w:rPr>
        <w:t xml:space="preserve"> February 2015</w:t>
      </w:r>
      <w:r w:rsidR="00F4367A">
        <w:rPr>
          <w:rFonts w:cs="Arial"/>
          <w:b/>
          <w:bCs/>
        </w:rPr>
        <w:tab/>
        <w:t xml:space="preserve">       </w:t>
      </w:r>
      <w:r w:rsidR="00F4367A">
        <w:rPr>
          <w:rFonts w:cs="Arial"/>
          <w:b/>
          <w:bCs/>
        </w:rPr>
        <w:tab/>
        <w:t xml:space="preserve">   </w:t>
      </w:r>
      <w:r w:rsidR="00F4367A">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B56C75">
        <w:rPr>
          <w:rFonts w:cs="Arial"/>
          <w:b/>
          <w:bCs/>
        </w:rPr>
        <w:t xml:space="preserve"> </w:t>
      </w:r>
      <w:r w:rsidR="00EA2FDD">
        <w:rPr>
          <w:rFonts w:cs="Arial"/>
          <w:b/>
          <w:bCs/>
        </w:rPr>
        <w:t xml:space="preserve">Head of </w:t>
      </w:r>
      <w:r w:rsidR="00B56C75">
        <w:rPr>
          <w:rFonts w:cs="Arial"/>
          <w:b/>
          <w:bCs/>
        </w:rPr>
        <w:t>Finance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56C75">
        <w:rPr>
          <w:rFonts w:cs="Arial"/>
          <w:b/>
          <w:bCs/>
        </w:rPr>
        <w:t>Treasury Management Strategy 2015/16</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B352BD" w:rsidRDefault="00B352BD">
      <w:pPr>
        <w:pBdr>
          <w:top w:val="single" w:sz="4" w:space="1" w:color="auto"/>
          <w:left w:val="single" w:sz="4" w:space="4" w:color="auto"/>
          <w:bottom w:val="single" w:sz="4" w:space="1" w:color="auto"/>
          <w:right w:val="single" w:sz="4" w:space="4" w:color="auto"/>
        </w:pBdr>
        <w:rPr>
          <w:rFonts w:cs="Arial"/>
          <w:b/>
          <w:bCs/>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676B10">
        <w:rPr>
          <w:rFonts w:cs="Arial"/>
        </w:rPr>
        <w:t>To present the Treasury Management Strategy for 201</w:t>
      </w:r>
      <w:r w:rsidR="005434C8">
        <w:rPr>
          <w:rFonts w:cs="Arial"/>
        </w:rPr>
        <w:t>5</w:t>
      </w:r>
      <w:r w:rsidR="00676B10">
        <w:rPr>
          <w:rFonts w:cs="Arial"/>
        </w:rPr>
        <w:t>/1</w:t>
      </w:r>
      <w:r w:rsidR="005434C8">
        <w:rPr>
          <w:rFonts w:cs="Arial"/>
        </w:rPr>
        <w:t>6</w:t>
      </w:r>
      <w:r w:rsidR="00676B10">
        <w:rPr>
          <w:rFonts w:cs="Arial"/>
        </w:rPr>
        <w:t xml:space="preserve"> </w:t>
      </w:r>
      <w:r w:rsidR="005434C8">
        <w:rPr>
          <w:rFonts w:cs="Arial"/>
        </w:rPr>
        <w:t xml:space="preserve">together </w:t>
      </w:r>
      <w:r w:rsidR="00676B10">
        <w:rPr>
          <w:rFonts w:cs="Arial"/>
        </w:rPr>
        <w:t>with the Prudential Indicators for 2015/16 to 201</w:t>
      </w:r>
      <w:r w:rsidR="00394726">
        <w:rPr>
          <w:rFonts w:cs="Arial"/>
        </w:rPr>
        <w:t>7</w:t>
      </w:r>
      <w:r w:rsidR="00676B10">
        <w:rPr>
          <w:rFonts w:cs="Arial"/>
        </w:rPr>
        <w:t>/1</w:t>
      </w:r>
      <w:r w:rsidR="00394726">
        <w:rPr>
          <w:rFonts w:cs="Arial"/>
        </w:rPr>
        <w:t>8</w:t>
      </w:r>
      <w:r w:rsidR="00676B10">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676B10"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w:t>
      </w:r>
      <w:proofErr w:type="gramStart"/>
      <w:r>
        <w:rPr>
          <w:bCs w:val="0"/>
        </w:rPr>
        <w:t xml:space="preserve">decision </w:t>
      </w:r>
      <w:r w:rsidR="005434C8">
        <w:rPr>
          <w:b w:val="0"/>
          <w:bCs w:val="0"/>
        </w:rPr>
        <w:t xml:space="preserve"> Yes</w:t>
      </w:r>
      <w:proofErr w:type="gramEnd"/>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Executive lead member:</w:t>
      </w:r>
      <w:r w:rsidR="00676B10">
        <w:rPr>
          <w:rFonts w:cs="Arial"/>
          <w:b/>
          <w:bCs/>
        </w:rPr>
        <w:t xml:space="preserve"> Councillor Ed Turner</w:t>
      </w:r>
      <w:r>
        <w:rPr>
          <w:rFonts w:cs="Arial"/>
          <w:b/>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676B10">
        <w:rPr>
          <w:rFonts w:cs="Arial"/>
          <w:b/>
          <w:bCs/>
        </w:rPr>
        <w:t>Sustaining Financial Stability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676B10"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Recommendation(s): </w:t>
      </w:r>
      <w:r w:rsidR="00676B10" w:rsidRPr="00676B10">
        <w:rPr>
          <w:rFonts w:cs="Arial"/>
        </w:rPr>
        <w:t>City Executive Board is asked to recommend that Council:</w:t>
      </w:r>
    </w:p>
    <w:p w:rsidR="00676B10" w:rsidRP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1. Approve the Treasury Management Strategy 2015/16, and adopt the Prud</w:t>
      </w:r>
      <w:r w:rsidR="00394726">
        <w:rPr>
          <w:rFonts w:cs="Arial"/>
        </w:rPr>
        <w:t>ential Indicators 2015/16 – 2017/18</w:t>
      </w:r>
      <w:r w:rsidRPr="00676B10">
        <w:rPr>
          <w:rFonts w:cs="Arial"/>
        </w:rPr>
        <w:t xml:space="preserve"> at paragraphs </w:t>
      </w:r>
      <w:r w:rsidR="00037430">
        <w:rPr>
          <w:rFonts w:cs="Arial"/>
        </w:rPr>
        <w:t>8 to 37</w:t>
      </w:r>
      <w:r w:rsidR="007A3D0F">
        <w:rPr>
          <w:rFonts w:cs="Arial"/>
        </w:rPr>
        <w:t>, and Appendix 2;</w:t>
      </w:r>
    </w:p>
    <w:p w:rsidR="007A3D0F"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2. Approve the Investment Strategy for 2015/16 and investment criteria set ou</w:t>
      </w:r>
      <w:r>
        <w:rPr>
          <w:rFonts w:cs="Arial"/>
        </w:rPr>
        <w:t>t</w:t>
      </w:r>
      <w:r w:rsidRPr="00676B10">
        <w:rPr>
          <w:rFonts w:cs="Arial"/>
        </w:rPr>
        <w:t xml:space="preserve"> in paragraphs </w:t>
      </w:r>
      <w:r w:rsidR="007A3D0F">
        <w:rPr>
          <w:rFonts w:cs="Arial"/>
        </w:rPr>
        <w:t>2</w:t>
      </w:r>
      <w:r w:rsidR="00037430">
        <w:rPr>
          <w:rFonts w:cs="Arial"/>
        </w:rPr>
        <w:t>3 to 37</w:t>
      </w:r>
      <w:r w:rsidRPr="00676B10">
        <w:rPr>
          <w:rFonts w:cs="Arial"/>
        </w:rPr>
        <w:t xml:space="preserve"> and Appendix 1</w:t>
      </w:r>
    </w:p>
    <w:p w:rsidR="00676B10" w:rsidRPr="00676B10" w:rsidRDefault="00676B10" w:rsidP="009C5C8F">
      <w:pPr>
        <w:pBdr>
          <w:top w:val="single" w:sz="4" w:space="1" w:color="auto"/>
          <w:left w:val="single" w:sz="4" w:space="4" w:color="auto"/>
          <w:bottom w:val="single" w:sz="4" w:space="1" w:color="auto"/>
          <w:right w:val="single" w:sz="4" w:space="4" w:color="auto"/>
        </w:pBdr>
        <w:tabs>
          <w:tab w:val="left" w:pos="3048"/>
        </w:tabs>
        <w:ind w:left="284" w:hanging="284"/>
        <w:rPr>
          <w:rFonts w:cs="Arial"/>
        </w:rPr>
      </w:pPr>
      <w:r w:rsidRPr="00676B10">
        <w:rPr>
          <w:rFonts w:cs="Arial"/>
        </w:rPr>
        <w:t xml:space="preserve">3. Approve </w:t>
      </w:r>
      <w:r w:rsidR="001C4689">
        <w:rPr>
          <w:rFonts w:cs="Arial"/>
        </w:rPr>
        <w:t>t</w:t>
      </w:r>
      <w:r w:rsidRPr="00676B10">
        <w:rPr>
          <w:rFonts w:cs="Arial"/>
        </w:rPr>
        <w:t xml:space="preserve">he Minimum Revenue Provision (MRP) statement at paragraphs </w:t>
      </w:r>
      <w:r w:rsidR="007A3D0F">
        <w:rPr>
          <w:rFonts w:cs="Arial"/>
        </w:rPr>
        <w:t>1</w:t>
      </w:r>
      <w:r w:rsidR="00037430">
        <w:rPr>
          <w:rFonts w:cs="Arial"/>
        </w:rPr>
        <w:t>2</w:t>
      </w:r>
      <w:r w:rsidR="007A3D0F">
        <w:rPr>
          <w:rFonts w:cs="Arial"/>
        </w:rPr>
        <w:t xml:space="preserve"> to 2</w:t>
      </w:r>
      <w:r w:rsidR="00037430">
        <w:rPr>
          <w:rFonts w:cs="Arial"/>
        </w:rPr>
        <w:t>2</w:t>
      </w:r>
      <w:r w:rsidRPr="00676B10">
        <w:rPr>
          <w:rFonts w:cs="Arial"/>
        </w:rPr>
        <w:t xml:space="preserve"> which sets out the Council’s policy on </w:t>
      </w:r>
      <w:r w:rsidR="001C4689">
        <w:rPr>
          <w:rFonts w:cs="Arial"/>
        </w:rPr>
        <w:t xml:space="preserve">debt </w:t>
      </w:r>
      <w:r w:rsidRPr="00676B10">
        <w:rPr>
          <w:rFonts w:cs="Arial"/>
        </w:rPr>
        <w:t>repayment.</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sidR="00E35F04">
        <w:rPr>
          <w:rFonts w:cs="Arial"/>
          <w:b/>
        </w:rPr>
        <w:t>:</w:t>
      </w:r>
      <w:r>
        <w:rPr>
          <w:rFonts w:cs="Arial"/>
        </w:rPr>
        <w:t xml:space="preserve"> </w:t>
      </w:r>
    </w:p>
    <w:p w:rsidR="00676B10" w:rsidRDefault="00676B10">
      <w:pPr>
        <w:rPr>
          <w:rFonts w:cs="Arial"/>
        </w:rPr>
      </w:pPr>
      <w:r>
        <w:rPr>
          <w:rFonts w:cs="Arial"/>
        </w:rPr>
        <w:t>Appendix 1 – Credit and Counterparty Risk Management</w:t>
      </w:r>
    </w:p>
    <w:p w:rsidR="00676B10" w:rsidRDefault="00676B10">
      <w:pPr>
        <w:rPr>
          <w:rFonts w:cs="Arial"/>
        </w:rPr>
      </w:pPr>
      <w:r>
        <w:rPr>
          <w:rFonts w:cs="Arial"/>
        </w:rPr>
        <w:t>Appendix 2 – Prudential Indicators</w:t>
      </w:r>
    </w:p>
    <w:p w:rsidR="007B6E54" w:rsidRDefault="007B6E54">
      <w:pPr>
        <w:rPr>
          <w:rFonts w:cs="Arial"/>
          <w:i/>
        </w:rPr>
      </w:pPr>
    </w:p>
    <w:p w:rsidR="00AA28E0" w:rsidRDefault="00AA28E0">
      <w:pPr>
        <w:rPr>
          <w:rFonts w:cs="Arial"/>
          <w:i/>
        </w:rPr>
      </w:pPr>
    </w:p>
    <w:p w:rsidR="006E3B55" w:rsidRDefault="006E3B55">
      <w:pPr>
        <w:rPr>
          <w:rFonts w:cs="Arial"/>
          <w:b/>
        </w:rPr>
      </w:pPr>
    </w:p>
    <w:p w:rsidR="007A3D0F" w:rsidRDefault="007A3D0F">
      <w:pPr>
        <w:rPr>
          <w:rFonts w:cs="Arial"/>
          <w:b/>
        </w:rPr>
      </w:pPr>
    </w:p>
    <w:p w:rsidR="005A67A4" w:rsidRDefault="005A67A4" w:rsidP="005A67A4">
      <w:pPr>
        <w:rPr>
          <w:rFonts w:cs="Arial"/>
          <w:b/>
        </w:rPr>
      </w:pPr>
      <w:r>
        <w:rPr>
          <w:rFonts w:cs="Arial"/>
          <w:b/>
        </w:rPr>
        <w:t>Executive Summary</w:t>
      </w:r>
    </w:p>
    <w:p w:rsidR="005A67A4" w:rsidRDefault="00A200F5" w:rsidP="005A67A4">
      <w:pPr>
        <w:pStyle w:val="ListParagraph"/>
        <w:numPr>
          <w:ilvl w:val="0"/>
          <w:numId w:val="3"/>
        </w:numPr>
        <w:rPr>
          <w:rFonts w:cs="Arial"/>
        </w:rPr>
      </w:pPr>
      <w:r>
        <w:rPr>
          <w:rFonts w:cs="Arial"/>
        </w:rPr>
        <w:t xml:space="preserve">The Council’s </w:t>
      </w:r>
      <w:r w:rsidR="00E35F04">
        <w:rPr>
          <w:rFonts w:cs="Arial"/>
        </w:rPr>
        <w:t>T</w:t>
      </w:r>
      <w:r>
        <w:rPr>
          <w:rFonts w:cs="Arial"/>
        </w:rPr>
        <w:t xml:space="preserve">reasury </w:t>
      </w:r>
      <w:r w:rsidR="00E35F04">
        <w:rPr>
          <w:rFonts w:cs="Arial"/>
        </w:rPr>
        <w:t>M</w:t>
      </w:r>
      <w:r>
        <w:rPr>
          <w:rFonts w:cs="Arial"/>
        </w:rPr>
        <w:t xml:space="preserve">anagement </w:t>
      </w:r>
      <w:r w:rsidR="00E35F04">
        <w:rPr>
          <w:rFonts w:cs="Arial"/>
        </w:rPr>
        <w:t>S</w:t>
      </w:r>
      <w:r w:rsidR="005A67A4">
        <w:rPr>
          <w:rFonts w:cs="Arial"/>
        </w:rPr>
        <w:t>trategy has been writte</w:t>
      </w:r>
      <w:r>
        <w:rPr>
          <w:rFonts w:cs="Arial"/>
        </w:rPr>
        <w:t>n in accordance with the CIPFA p</w:t>
      </w:r>
      <w:r w:rsidR="005A67A4">
        <w:rPr>
          <w:rFonts w:cs="Arial"/>
        </w:rPr>
        <w:t xml:space="preserve">rudential </w:t>
      </w:r>
      <w:r>
        <w:rPr>
          <w:rFonts w:cs="Arial"/>
        </w:rPr>
        <w:t>code and the CIPFA treasury management c</w:t>
      </w:r>
      <w:r w:rsidR="005A67A4">
        <w:rPr>
          <w:rFonts w:cs="Arial"/>
        </w:rPr>
        <w:t xml:space="preserve">ode of </w:t>
      </w:r>
      <w:r>
        <w:rPr>
          <w:rFonts w:cs="Arial"/>
        </w:rPr>
        <w:t>p</w:t>
      </w:r>
      <w:r w:rsidR="005A67A4">
        <w:rPr>
          <w:rFonts w:cs="Arial"/>
        </w:rPr>
        <w:t>ractice.  The</w:t>
      </w:r>
      <w:r w:rsidR="00254AA0">
        <w:rPr>
          <w:rFonts w:cs="Arial"/>
        </w:rPr>
        <w:t xml:space="preserve"> main change to the </w:t>
      </w:r>
      <w:r w:rsidR="00DC0FBB">
        <w:rPr>
          <w:rFonts w:cs="Arial"/>
        </w:rPr>
        <w:t>S</w:t>
      </w:r>
      <w:r w:rsidR="00254AA0">
        <w:rPr>
          <w:rFonts w:cs="Arial"/>
        </w:rPr>
        <w:t xml:space="preserve">trategy is the inclusion of the Ethical Investment Policy </w:t>
      </w:r>
      <w:r w:rsidR="00DC0FBB">
        <w:rPr>
          <w:rFonts w:cs="Arial"/>
        </w:rPr>
        <w:t xml:space="preserve">set out at </w:t>
      </w:r>
      <w:r w:rsidR="00254AA0">
        <w:rPr>
          <w:rFonts w:cs="Arial"/>
        </w:rPr>
        <w:t xml:space="preserve">paragraph </w:t>
      </w:r>
      <w:r w:rsidR="00037430">
        <w:rPr>
          <w:rFonts w:cs="Arial"/>
        </w:rPr>
        <w:t>39</w:t>
      </w:r>
      <w:r w:rsidR="005A67A4">
        <w:rPr>
          <w:rFonts w:cs="Arial"/>
        </w:rPr>
        <w:t>.</w:t>
      </w:r>
    </w:p>
    <w:p w:rsidR="00EA1A00" w:rsidRDefault="00EA1A00" w:rsidP="00EA1A00">
      <w:pPr>
        <w:pStyle w:val="ListParagraph"/>
        <w:rPr>
          <w:rFonts w:cs="Arial"/>
        </w:rPr>
      </w:pPr>
    </w:p>
    <w:p w:rsidR="005A67A4" w:rsidRDefault="00EA1A00" w:rsidP="005A67A4">
      <w:pPr>
        <w:pStyle w:val="ListParagraph"/>
        <w:numPr>
          <w:ilvl w:val="0"/>
          <w:numId w:val="3"/>
        </w:numPr>
        <w:rPr>
          <w:rFonts w:cs="Arial"/>
        </w:rPr>
      </w:pPr>
      <w:r>
        <w:rPr>
          <w:rFonts w:cs="Arial"/>
        </w:rPr>
        <w:t>The</w:t>
      </w:r>
      <w:r w:rsidR="00A200F5">
        <w:rPr>
          <w:rFonts w:cs="Arial"/>
        </w:rPr>
        <w:t xml:space="preserve"> report presents the Council’s prudential i</w:t>
      </w:r>
      <w:r>
        <w:rPr>
          <w:rFonts w:cs="Arial"/>
        </w:rPr>
        <w:t>ndicators for 2015/16 – 201</w:t>
      </w:r>
      <w:r w:rsidR="00394726">
        <w:rPr>
          <w:rFonts w:cs="Arial"/>
        </w:rPr>
        <w:t>7</w:t>
      </w:r>
      <w:r>
        <w:rPr>
          <w:rFonts w:cs="Arial"/>
        </w:rPr>
        <w:t>/1</w:t>
      </w:r>
      <w:r w:rsidR="00394726">
        <w:rPr>
          <w:rFonts w:cs="Arial"/>
        </w:rPr>
        <w:t>8</w:t>
      </w:r>
      <w:r>
        <w:rPr>
          <w:rFonts w:cs="Arial"/>
        </w:rPr>
        <w:t>.  Notable indicators include capital expenditure and borrowing limits, as these are areas of significant activity.</w:t>
      </w:r>
    </w:p>
    <w:p w:rsidR="00EA1A00" w:rsidRPr="00EA1A00" w:rsidRDefault="00EA1A00" w:rsidP="00EA1A00">
      <w:pPr>
        <w:pStyle w:val="ListParagraph"/>
        <w:rPr>
          <w:rFonts w:cs="Arial"/>
        </w:rPr>
      </w:pPr>
    </w:p>
    <w:p w:rsidR="00EA1A00" w:rsidRDefault="00EA1A00" w:rsidP="005A67A4">
      <w:pPr>
        <w:pStyle w:val="ListParagraph"/>
        <w:numPr>
          <w:ilvl w:val="0"/>
          <w:numId w:val="3"/>
        </w:numPr>
        <w:rPr>
          <w:rFonts w:cs="Arial"/>
        </w:rPr>
      </w:pPr>
      <w:r>
        <w:rPr>
          <w:rFonts w:cs="Arial"/>
        </w:rPr>
        <w:t xml:space="preserve">Members are required to agree the Council’s Minimum Revenue Provision (MRP) policy, which is </w:t>
      </w:r>
      <w:r w:rsidR="00254AA0">
        <w:rPr>
          <w:rFonts w:cs="Arial"/>
        </w:rPr>
        <w:t xml:space="preserve">the charge </w:t>
      </w:r>
      <w:r>
        <w:rPr>
          <w:rFonts w:cs="Arial"/>
        </w:rPr>
        <w:t xml:space="preserve">to revenue </w:t>
      </w:r>
      <w:r w:rsidR="005434C8">
        <w:rPr>
          <w:rFonts w:cs="Arial"/>
        </w:rPr>
        <w:t xml:space="preserve">each year </w:t>
      </w:r>
      <w:r>
        <w:rPr>
          <w:rFonts w:cs="Arial"/>
        </w:rPr>
        <w:t>for the repayment of debt.</w:t>
      </w:r>
    </w:p>
    <w:p w:rsidR="00EA1A00" w:rsidRPr="00EA1A00" w:rsidRDefault="00EA1A00" w:rsidP="00EA1A00">
      <w:pPr>
        <w:pStyle w:val="ListParagraph"/>
        <w:rPr>
          <w:rFonts w:cs="Arial"/>
        </w:rPr>
      </w:pPr>
    </w:p>
    <w:p w:rsidR="00E35DD4" w:rsidRDefault="00EA1A00" w:rsidP="005A67A4">
      <w:pPr>
        <w:pStyle w:val="ListParagraph"/>
        <w:numPr>
          <w:ilvl w:val="0"/>
          <w:numId w:val="3"/>
        </w:numPr>
        <w:rPr>
          <w:rFonts w:cs="Arial"/>
        </w:rPr>
      </w:pPr>
      <w:r>
        <w:rPr>
          <w:rFonts w:cs="Arial"/>
        </w:rPr>
        <w:t xml:space="preserve">The average </w:t>
      </w:r>
      <w:r w:rsidR="00B5766A">
        <w:rPr>
          <w:rFonts w:cs="Arial"/>
        </w:rPr>
        <w:t xml:space="preserve">value of </w:t>
      </w:r>
      <w:r>
        <w:rPr>
          <w:rFonts w:cs="Arial"/>
        </w:rPr>
        <w:t xml:space="preserve">investments during the financial year </w:t>
      </w:r>
      <w:r w:rsidR="005434C8">
        <w:rPr>
          <w:rFonts w:cs="Arial"/>
        </w:rPr>
        <w:t xml:space="preserve">to date </w:t>
      </w:r>
      <w:r w:rsidR="00B5766A">
        <w:rPr>
          <w:rFonts w:cs="Arial"/>
        </w:rPr>
        <w:t>is</w:t>
      </w:r>
      <w:r>
        <w:rPr>
          <w:rFonts w:cs="Arial"/>
        </w:rPr>
        <w:t xml:space="preserve"> </w:t>
      </w:r>
      <w:r w:rsidR="001C24C8">
        <w:rPr>
          <w:rFonts w:cs="Arial"/>
        </w:rPr>
        <w:t xml:space="preserve">£69.4m, </w:t>
      </w:r>
      <w:r w:rsidR="00B5766A">
        <w:rPr>
          <w:rFonts w:cs="Arial"/>
        </w:rPr>
        <w:t>they</w:t>
      </w:r>
      <w:r w:rsidR="001C24C8">
        <w:rPr>
          <w:rFonts w:cs="Arial"/>
        </w:rPr>
        <w:t xml:space="preserve"> have ranged </w:t>
      </w:r>
      <w:r w:rsidR="00471494">
        <w:rPr>
          <w:rFonts w:cs="Arial"/>
        </w:rPr>
        <w:t>from £</w:t>
      </w:r>
      <w:r w:rsidR="001C24C8">
        <w:rPr>
          <w:rFonts w:cs="Arial"/>
        </w:rPr>
        <w:t>63.7m to £76.1m</w:t>
      </w:r>
      <w:r w:rsidR="008970C3">
        <w:rPr>
          <w:rFonts w:cs="Arial"/>
        </w:rPr>
        <w:t xml:space="preserve"> at any one time; an increase on the previous year, when average balance</w:t>
      </w:r>
      <w:r w:rsidR="005434C8">
        <w:rPr>
          <w:rFonts w:cs="Arial"/>
        </w:rPr>
        <w:t>s</w:t>
      </w:r>
      <w:r w:rsidR="008970C3">
        <w:rPr>
          <w:rFonts w:cs="Arial"/>
        </w:rPr>
        <w:t xml:space="preserve"> were £58.2m </w:t>
      </w:r>
      <w:r w:rsidR="00690850">
        <w:rPr>
          <w:rFonts w:cs="Arial"/>
        </w:rPr>
        <w:t xml:space="preserve">and </w:t>
      </w:r>
      <w:r w:rsidR="008970C3">
        <w:rPr>
          <w:rFonts w:cs="Arial"/>
        </w:rPr>
        <w:t>rang</w:t>
      </w:r>
      <w:r w:rsidR="00690850">
        <w:rPr>
          <w:rFonts w:cs="Arial"/>
        </w:rPr>
        <w:t>ed</w:t>
      </w:r>
      <w:r w:rsidR="008970C3">
        <w:rPr>
          <w:rFonts w:cs="Arial"/>
        </w:rPr>
        <w:t xml:space="preserve"> from £40.7m to £74.3m. </w:t>
      </w:r>
      <w:r w:rsidR="005434C8">
        <w:rPr>
          <w:rFonts w:cs="Arial"/>
        </w:rPr>
        <w:t>This reflects slippage in the Council</w:t>
      </w:r>
      <w:r w:rsidR="00690850">
        <w:rPr>
          <w:rFonts w:cs="Arial"/>
        </w:rPr>
        <w:t>’</w:t>
      </w:r>
      <w:r w:rsidR="005434C8">
        <w:rPr>
          <w:rFonts w:cs="Arial"/>
        </w:rPr>
        <w:t xml:space="preserve">s </w:t>
      </w:r>
      <w:r w:rsidR="00690850">
        <w:rPr>
          <w:rFonts w:cs="Arial"/>
        </w:rPr>
        <w:t>C</w:t>
      </w:r>
      <w:r w:rsidR="005434C8">
        <w:rPr>
          <w:rFonts w:cs="Arial"/>
        </w:rPr>
        <w:t xml:space="preserve">apital </w:t>
      </w:r>
      <w:r w:rsidR="00690850">
        <w:rPr>
          <w:rFonts w:cs="Arial"/>
        </w:rPr>
        <w:t>P</w:t>
      </w:r>
      <w:r w:rsidR="005434C8">
        <w:rPr>
          <w:rFonts w:cs="Arial"/>
        </w:rPr>
        <w:t>rogramme</w:t>
      </w:r>
      <w:r w:rsidR="00690850">
        <w:rPr>
          <w:rFonts w:cs="Arial"/>
        </w:rPr>
        <w:t>.</w:t>
      </w:r>
      <w:r w:rsidR="008970C3">
        <w:rPr>
          <w:rFonts w:cs="Arial"/>
        </w:rPr>
        <w:t xml:space="preserve"> </w:t>
      </w:r>
    </w:p>
    <w:p w:rsidR="00177C9D" w:rsidRPr="00177C9D" w:rsidRDefault="00177C9D" w:rsidP="00177C9D">
      <w:pPr>
        <w:pStyle w:val="ListParagraph"/>
        <w:rPr>
          <w:rFonts w:cs="Arial"/>
        </w:rPr>
      </w:pPr>
    </w:p>
    <w:p w:rsidR="00CB0451" w:rsidRPr="00177C9D" w:rsidRDefault="00177C9D" w:rsidP="00177C9D">
      <w:pPr>
        <w:pStyle w:val="ListParagraph"/>
        <w:numPr>
          <w:ilvl w:val="0"/>
          <w:numId w:val="3"/>
        </w:numPr>
        <w:rPr>
          <w:rFonts w:cs="Arial"/>
        </w:rPr>
      </w:pPr>
      <w:r>
        <w:rPr>
          <w:rFonts w:cs="Arial"/>
        </w:rPr>
        <w:t xml:space="preserve">The Council’s external debt will reduce </w:t>
      </w:r>
      <w:r w:rsidR="008970C3" w:rsidRPr="007A3D0F">
        <w:rPr>
          <w:rFonts w:cs="Arial"/>
        </w:rPr>
        <w:t>to £</w:t>
      </w:r>
      <w:r w:rsidR="007A3D0F" w:rsidRPr="007A3D0F">
        <w:rPr>
          <w:rFonts w:cs="Arial"/>
        </w:rPr>
        <w:t>200.1</w:t>
      </w:r>
      <w:r w:rsidR="008970C3" w:rsidRPr="007A3D0F">
        <w:rPr>
          <w:rFonts w:cs="Arial"/>
        </w:rPr>
        <w:t>m</w:t>
      </w:r>
      <w:r w:rsidR="008970C3" w:rsidRPr="00177C9D">
        <w:rPr>
          <w:rFonts w:cs="Arial"/>
        </w:rPr>
        <w:t xml:space="preserve"> by the end of March 2015 from £200.5 at the same time last year.  Th</w:t>
      </w:r>
      <w:r w:rsidR="00690850">
        <w:rPr>
          <w:rFonts w:cs="Arial"/>
        </w:rPr>
        <w:t>e</w:t>
      </w:r>
      <w:r w:rsidR="008970C3" w:rsidRPr="00177C9D">
        <w:rPr>
          <w:rFonts w:cs="Arial"/>
        </w:rPr>
        <w:t xml:space="preserve"> debt is held at fixed rates</w:t>
      </w:r>
      <w:r w:rsidR="005434C8" w:rsidRPr="00177C9D">
        <w:rPr>
          <w:rFonts w:cs="Arial"/>
        </w:rPr>
        <w:t xml:space="preserve"> with</w:t>
      </w:r>
      <w:r w:rsidR="008970C3" w:rsidRPr="00177C9D">
        <w:rPr>
          <w:rFonts w:cs="Arial"/>
        </w:rPr>
        <w:t xml:space="preserve"> varying fixed periods </w:t>
      </w:r>
      <w:r w:rsidR="00690850">
        <w:rPr>
          <w:rFonts w:cs="Arial"/>
        </w:rPr>
        <w:t>to</w:t>
      </w:r>
      <w:r w:rsidR="008970C3" w:rsidRPr="00177C9D">
        <w:rPr>
          <w:rFonts w:cs="Arial"/>
        </w:rPr>
        <w:t xml:space="preserve"> maturity.  £198.5m relates to the Housing Revenue Account </w:t>
      </w:r>
      <w:r w:rsidR="005434C8" w:rsidRPr="00177C9D">
        <w:rPr>
          <w:rFonts w:cs="Arial"/>
        </w:rPr>
        <w:t xml:space="preserve">following </w:t>
      </w:r>
      <w:r w:rsidR="008970C3" w:rsidRPr="00177C9D">
        <w:rPr>
          <w:rFonts w:cs="Arial"/>
        </w:rPr>
        <w:t>the introduction of self-financing</w:t>
      </w:r>
      <w:r w:rsidR="005434C8" w:rsidRPr="00177C9D">
        <w:rPr>
          <w:rFonts w:cs="Arial"/>
        </w:rPr>
        <w:t xml:space="preserve"> in April 2012</w:t>
      </w:r>
      <w:r w:rsidR="00254AA0" w:rsidRPr="00177C9D">
        <w:rPr>
          <w:rFonts w:cs="Arial"/>
        </w:rPr>
        <w:t>.</w:t>
      </w:r>
    </w:p>
    <w:p w:rsidR="008970C3" w:rsidRPr="008970C3" w:rsidRDefault="008970C3" w:rsidP="008970C3">
      <w:pPr>
        <w:pStyle w:val="ListParagraph"/>
        <w:rPr>
          <w:rFonts w:cs="Arial"/>
        </w:rPr>
      </w:pPr>
    </w:p>
    <w:p w:rsidR="00CB0451" w:rsidRDefault="00A200F5" w:rsidP="00471494">
      <w:pPr>
        <w:pStyle w:val="ListParagraph"/>
        <w:numPr>
          <w:ilvl w:val="0"/>
          <w:numId w:val="3"/>
        </w:numPr>
        <w:rPr>
          <w:rFonts w:cs="Arial"/>
        </w:rPr>
      </w:pPr>
      <w:r w:rsidRPr="00B26E2A">
        <w:rPr>
          <w:rFonts w:cs="Arial"/>
        </w:rPr>
        <w:t xml:space="preserve">The Council’s </w:t>
      </w:r>
      <w:r w:rsidR="00CB0451" w:rsidRPr="00B26E2A">
        <w:rPr>
          <w:rFonts w:cs="Arial"/>
        </w:rPr>
        <w:t xml:space="preserve">General Fund </w:t>
      </w:r>
      <w:r w:rsidR="00264331" w:rsidRPr="00B26E2A">
        <w:rPr>
          <w:rFonts w:cs="Arial"/>
        </w:rPr>
        <w:t>C</w:t>
      </w:r>
      <w:r w:rsidRPr="00854132">
        <w:rPr>
          <w:rFonts w:cs="Arial"/>
        </w:rPr>
        <w:t xml:space="preserve">apital </w:t>
      </w:r>
      <w:r w:rsidR="00264331" w:rsidRPr="00854132">
        <w:rPr>
          <w:rFonts w:cs="Arial"/>
        </w:rPr>
        <w:t>P</w:t>
      </w:r>
      <w:r w:rsidR="008970C3" w:rsidRPr="00854132">
        <w:rPr>
          <w:rFonts w:cs="Arial"/>
        </w:rPr>
        <w:t>rogramme</w:t>
      </w:r>
      <w:r w:rsidRPr="00854132">
        <w:rPr>
          <w:rFonts w:cs="Arial"/>
        </w:rPr>
        <w:t xml:space="preserve"> over the next four years </w:t>
      </w:r>
      <w:r w:rsidR="00CB0451" w:rsidRPr="00015AAA">
        <w:rPr>
          <w:rFonts w:cs="Arial"/>
        </w:rPr>
        <w:t>continues to</w:t>
      </w:r>
      <w:r w:rsidRPr="00015AAA">
        <w:rPr>
          <w:rFonts w:cs="Arial"/>
        </w:rPr>
        <w:t xml:space="preserve"> be funded from a combina</w:t>
      </w:r>
      <w:r w:rsidRPr="002D4C95">
        <w:rPr>
          <w:rFonts w:cs="Arial"/>
        </w:rPr>
        <w:t>tion of government grants, capital receipts</w:t>
      </w:r>
      <w:r w:rsidR="00254AA0" w:rsidRPr="00B26E2A">
        <w:rPr>
          <w:rFonts w:cs="Arial"/>
        </w:rPr>
        <w:t>,</w:t>
      </w:r>
      <w:r w:rsidRPr="00B26E2A">
        <w:rPr>
          <w:rFonts w:cs="Arial"/>
        </w:rPr>
        <w:t xml:space="preserve"> revenue resources</w:t>
      </w:r>
      <w:r w:rsidR="00CB0451" w:rsidRPr="00B26E2A">
        <w:rPr>
          <w:rFonts w:cs="Arial"/>
        </w:rPr>
        <w:t xml:space="preserve"> and Community Infrastructure Levy</w:t>
      </w:r>
      <w:r w:rsidR="00C342EA" w:rsidRPr="00B26E2A">
        <w:rPr>
          <w:rFonts w:cs="Arial"/>
        </w:rPr>
        <w:t xml:space="preserve">. </w:t>
      </w:r>
    </w:p>
    <w:p w:rsidR="00471494" w:rsidRPr="00471494" w:rsidRDefault="00471494" w:rsidP="00471494">
      <w:pPr>
        <w:rPr>
          <w:rFonts w:cs="Arial"/>
        </w:rPr>
      </w:pPr>
    </w:p>
    <w:p w:rsidR="00CB0451" w:rsidRDefault="00CB0451" w:rsidP="00E35DD4">
      <w:pPr>
        <w:pStyle w:val="ListParagraph"/>
        <w:numPr>
          <w:ilvl w:val="0"/>
          <w:numId w:val="3"/>
        </w:numPr>
        <w:rPr>
          <w:rFonts w:cs="Arial"/>
        </w:rPr>
      </w:pPr>
      <w:r>
        <w:rPr>
          <w:rFonts w:cs="Arial"/>
        </w:rPr>
        <w:t xml:space="preserve">Whilst the majority of the Housing Capital Programme continues to be funded </w:t>
      </w:r>
      <w:r w:rsidR="00254AA0">
        <w:rPr>
          <w:rFonts w:cs="Arial"/>
        </w:rPr>
        <w:t>directly from C</w:t>
      </w:r>
      <w:r>
        <w:rPr>
          <w:rFonts w:cs="Arial"/>
        </w:rPr>
        <w:t xml:space="preserve">ouncil </w:t>
      </w:r>
      <w:r w:rsidR="00254AA0">
        <w:rPr>
          <w:rFonts w:cs="Arial"/>
        </w:rPr>
        <w:t>H</w:t>
      </w:r>
      <w:r>
        <w:rPr>
          <w:rFonts w:cs="Arial"/>
        </w:rPr>
        <w:t>ouse rents the Council</w:t>
      </w:r>
      <w:r w:rsidR="00377CE2">
        <w:rPr>
          <w:rFonts w:cs="Arial"/>
        </w:rPr>
        <w:t>’</w:t>
      </w:r>
      <w:r>
        <w:rPr>
          <w:rFonts w:cs="Arial"/>
        </w:rPr>
        <w:t xml:space="preserve">s budget also allows for increased </w:t>
      </w:r>
      <w:r w:rsidR="00377CE2">
        <w:rPr>
          <w:rFonts w:cs="Arial"/>
        </w:rPr>
        <w:t>’</w:t>
      </w:r>
      <w:r>
        <w:rPr>
          <w:rFonts w:cs="Arial"/>
        </w:rPr>
        <w:t xml:space="preserve"> borrowing </w:t>
      </w:r>
      <w:r w:rsidR="00377CE2">
        <w:rPr>
          <w:rFonts w:cs="Arial"/>
        </w:rPr>
        <w:t>’(</w:t>
      </w:r>
      <w:r>
        <w:rPr>
          <w:rFonts w:cs="Arial"/>
        </w:rPr>
        <w:t>£32 million</w:t>
      </w:r>
      <w:r w:rsidR="00377CE2">
        <w:rPr>
          <w:rFonts w:cs="Arial"/>
        </w:rPr>
        <w:t>)</w:t>
      </w:r>
      <w:r>
        <w:rPr>
          <w:rFonts w:cs="Arial"/>
        </w:rPr>
        <w:t xml:space="preserve"> to fund a package of Housing investments.</w:t>
      </w:r>
    </w:p>
    <w:p w:rsidR="00E35DD4" w:rsidRPr="00471494" w:rsidRDefault="00E35DD4" w:rsidP="00471494">
      <w:pPr>
        <w:rPr>
          <w:rFonts w:cs="Arial"/>
          <w:b/>
        </w:rPr>
      </w:pPr>
    </w:p>
    <w:p w:rsidR="00E35DD4" w:rsidRPr="00BA600C" w:rsidRDefault="00E35DD4" w:rsidP="00E35DD4">
      <w:pPr>
        <w:rPr>
          <w:rFonts w:cs="Arial"/>
          <w:b/>
        </w:rPr>
      </w:pPr>
      <w:r w:rsidRPr="00BA600C">
        <w:rPr>
          <w:rFonts w:cs="Arial"/>
          <w:b/>
        </w:rPr>
        <w:t>Treasury Management Strategy</w:t>
      </w:r>
    </w:p>
    <w:p w:rsidR="00E35DD4" w:rsidRPr="00BA600C" w:rsidRDefault="00E35DD4" w:rsidP="00E35DD4">
      <w:pPr>
        <w:rPr>
          <w:rFonts w:cs="Arial"/>
          <w:b/>
        </w:rPr>
      </w:pPr>
      <w:r w:rsidRPr="00BA600C">
        <w:rPr>
          <w:rFonts w:cs="Arial"/>
          <w:b/>
        </w:rPr>
        <w:t>Borrowing and Debt Strategy 2015/16</w:t>
      </w:r>
    </w:p>
    <w:p w:rsidR="00E35DD4" w:rsidRPr="00BA600C" w:rsidRDefault="00E35DD4" w:rsidP="00E35DD4">
      <w:pPr>
        <w:pStyle w:val="ListParagraph"/>
        <w:rPr>
          <w:rFonts w:cs="Arial"/>
          <w:b/>
        </w:rPr>
      </w:pPr>
    </w:p>
    <w:p w:rsidR="00E35DD4" w:rsidRDefault="00E35DD4" w:rsidP="00E35DD4">
      <w:pPr>
        <w:pStyle w:val="ListParagraph"/>
        <w:numPr>
          <w:ilvl w:val="0"/>
          <w:numId w:val="3"/>
        </w:numPr>
        <w:rPr>
          <w:rFonts w:cs="Arial"/>
        </w:rPr>
      </w:pPr>
      <w:r>
        <w:rPr>
          <w:rFonts w:cs="Arial"/>
        </w:rPr>
        <w:t>Under the prudential code, individual authorities are responsible for deciding the level of their borrowing.  The system is designed to allow authorities that need, and can afford to, to borrow in order to pay for capital investment.</w:t>
      </w:r>
    </w:p>
    <w:p w:rsid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arrangements also facilitate ‘invest to save’ schemes where they are affordable, prudent and sustainable.</w:t>
      </w:r>
    </w:p>
    <w:p w:rsidR="00E35DD4" w:rsidRPr="00E35DD4" w:rsidRDefault="00E35DD4" w:rsidP="00E35DD4">
      <w:pPr>
        <w:pStyle w:val="ListParagraph"/>
        <w:rPr>
          <w:rFonts w:cs="Arial"/>
        </w:rPr>
      </w:pPr>
    </w:p>
    <w:p w:rsidR="00E35DD4" w:rsidRDefault="00E35DD4" w:rsidP="00E35DD4">
      <w:pPr>
        <w:pStyle w:val="ListParagraph"/>
        <w:numPr>
          <w:ilvl w:val="0"/>
          <w:numId w:val="3"/>
        </w:numPr>
        <w:rPr>
          <w:rFonts w:cs="Arial"/>
        </w:rPr>
      </w:pPr>
      <w:r>
        <w:rPr>
          <w:rFonts w:cs="Arial"/>
        </w:rPr>
        <w:t>The parameters for determining the level of prudential borrowing are:</w:t>
      </w:r>
    </w:p>
    <w:p w:rsidR="007A4B87" w:rsidRPr="007A4B87" w:rsidRDefault="007A4B87" w:rsidP="007A4B87">
      <w:pPr>
        <w:pStyle w:val="ListParagraph"/>
        <w:rPr>
          <w:rFonts w:cs="Arial"/>
        </w:rPr>
      </w:pPr>
    </w:p>
    <w:p w:rsidR="007A4B87" w:rsidRDefault="00022D5A" w:rsidP="007A4B87">
      <w:pPr>
        <w:pStyle w:val="ListParagraph"/>
        <w:numPr>
          <w:ilvl w:val="0"/>
          <w:numId w:val="5"/>
        </w:numPr>
        <w:rPr>
          <w:rFonts w:cs="Arial"/>
        </w:rPr>
      </w:pPr>
      <w:r>
        <w:rPr>
          <w:rFonts w:cs="Arial"/>
        </w:rPr>
        <w:t>A</w:t>
      </w:r>
      <w:r w:rsidR="007A4B87">
        <w:rPr>
          <w:rFonts w:cs="Arial"/>
        </w:rPr>
        <w:t xml:space="preserve"> balanced revenue budget that includes the revenue consequences of any capital financing </w:t>
      </w:r>
      <w:proofErr w:type="spellStart"/>
      <w:r w:rsidR="007A4B87">
        <w:rPr>
          <w:rFonts w:cs="Arial"/>
        </w:rPr>
        <w:t>ie</w:t>
      </w:r>
      <w:proofErr w:type="spellEnd"/>
      <w:r w:rsidR="007A4B87">
        <w:rPr>
          <w:rFonts w:cs="Arial"/>
        </w:rPr>
        <w:t>: interest</w:t>
      </w:r>
      <w:r>
        <w:rPr>
          <w:rFonts w:cs="Arial"/>
        </w:rPr>
        <w:t>,</w:t>
      </w:r>
      <w:r w:rsidR="007A4B87">
        <w:rPr>
          <w:rFonts w:cs="Arial"/>
        </w:rPr>
        <w:t xml:space="preserve"> debt repayment a</w:t>
      </w:r>
      <w:r w:rsidR="00435DED">
        <w:rPr>
          <w:rFonts w:cs="Arial"/>
        </w:rPr>
        <w:t xml:space="preserve">nd </w:t>
      </w:r>
      <w:r w:rsidR="007A4B87">
        <w:rPr>
          <w:rFonts w:cs="Arial"/>
        </w:rPr>
        <w:t xml:space="preserve"> running costs of a</w:t>
      </w:r>
      <w:r w:rsidR="00435DED">
        <w:rPr>
          <w:rFonts w:cs="Arial"/>
        </w:rPr>
        <w:t>ny</w:t>
      </w:r>
      <w:r w:rsidR="007A4B87">
        <w:rPr>
          <w:rFonts w:cs="Arial"/>
        </w:rPr>
        <w:t xml:space="preserve"> new project;</w:t>
      </w:r>
    </w:p>
    <w:p w:rsidR="007A4B87" w:rsidRDefault="007A4B87" w:rsidP="007A4B87">
      <w:pPr>
        <w:pStyle w:val="ListParagraph"/>
        <w:numPr>
          <w:ilvl w:val="0"/>
          <w:numId w:val="5"/>
        </w:numPr>
        <w:rPr>
          <w:rFonts w:cs="Arial"/>
        </w:rPr>
      </w:pPr>
      <w:r>
        <w:rPr>
          <w:rFonts w:cs="Arial"/>
        </w:rPr>
        <w:t xml:space="preserve">That the </w:t>
      </w:r>
      <w:r w:rsidR="0010559E">
        <w:rPr>
          <w:rFonts w:cs="Arial"/>
        </w:rPr>
        <w:t>impacts of the authorised borrowing limit</w:t>
      </w:r>
      <w:r>
        <w:rPr>
          <w:rFonts w:cs="Arial"/>
        </w:rPr>
        <w:t xml:space="preserve"> on council tax or </w:t>
      </w:r>
      <w:proofErr w:type="gramStart"/>
      <w:r>
        <w:rPr>
          <w:rFonts w:cs="Arial"/>
        </w:rPr>
        <w:t>council rents is</w:t>
      </w:r>
      <w:proofErr w:type="gramEnd"/>
      <w:r>
        <w:rPr>
          <w:rFonts w:cs="Arial"/>
        </w:rPr>
        <w:t xml:space="preserve"> reasonable.</w:t>
      </w:r>
    </w:p>
    <w:p w:rsidR="00CB0451" w:rsidRPr="0010559E" w:rsidRDefault="00CB0451" w:rsidP="0010559E">
      <w:pPr>
        <w:rPr>
          <w:rFonts w:cs="Arial"/>
        </w:rPr>
      </w:pPr>
    </w:p>
    <w:p w:rsidR="00CB0451" w:rsidRDefault="0029389F" w:rsidP="00E35DD4">
      <w:pPr>
        <w:pStyle w:val="ListParagraph"/>
        <w:numPr>
          <w:ilvl w:val="0"/>
          <w:numId w:val="3"/>
        </w:numPr>
        <w:rPr>
          <w:rFonts w:cs="Arial"/>
        </w:rPr>
      </w:pPr>
      <w:r>
        <w:rPr>
          <w:rFonts w:cs="Arial"/>
        </w:rPr>
        <w:t xml:space="preserve">The draft </w:t>
      </w:r>
      <w:r w:rsidR="00015AAA">
        <w:rPr>
          <w:rFonts w:cs="Arial"/>
        </w:rPr>
        <w:t>C</w:t>
      </w:r>
      <w:r>
        <w:rPr>
          <w:rFonts w:cs="Arial"/>
        </w:rPr>
        <w:t xml:space="preserve">apital </w:t>
      </w:r>
      <w:r w:rsidR="00015AAA">
        <w:rPr>
          <w:rFonts w:cs="Arial"/>
        </w:rPr>
        <w:t>P</w:t>
      </w:r>
      <w:r>
        <w:rPr>
          <w:rFonts w:cs="Arial"/>
        </w:rPr>
        <w:t xml:space="preserve">rogramme </w:t>
      </w:r>
      <w:r w:rsidR="00015AAA">
        <w:rPr>
          <w:rFonts w:cs="Arial"/>
        </w:rPr>
        <w:t xml:space="preserve">which appears elsewhere on the Agenda; </w:t>
      </w:r>
      <w:r>
        <w:rPr>
          <w:rFonts w:cs="Arial"/>
        </w:rPr>
        <w:t xml:space="preserve">includes approximately £32m of HRA borrowing, to fund new build and estate regeneration over the next four years.  This is utilising the </w:t>
      </w:r>
      <w:r w:rsidR="00AD678C">
        <w:rPr>
          <w:rFonts w:cs="Arial"/>
        </w:rPr>
        <w:t>Capital Financing Requirement (</w:t>
      </w:r>
      <w:r>
        <w:rPr>
          <w:rFonts w:cs="Arial"/>
        </w:rPr>
        <w:t>CFR</w:t>
      </w:r>
      <w:r w:rsidR="00AD678C">
        <w:rPr>
          <w:rFonts w:cs="Arial"/>
        </w:rPr>
        <w:t>)</w:t>
      </w:r>
      <w:r>
        <w:rPr>
          <w:rFonts w:cs="Arial"/>
        </w:rPr>
        <w:t xml:space="preserve"> headroom available to the HRA.</w:t>
      </w:r>
    </w:p>
    <w:p w:rsidR="00BA600C" w:rsidRPr="00BA600C" w:rsidRDefault="00BA600C" w:rsidP="00BA600C">
      <w:pPr>
        <w:pStyle w:val="ListParagraph"/>
        <w:rPr>
          <w:rFonts w:cs="Arial"/>
        </w:rPr>
      </w:pPr>
    </w:p>
    <w:p w:rsidR="00BA600C" w:rsidRPr="00BA600C" w:rsidRDefault="00BA600C" w:rsidP="00BA600C">
      <w:pPr>
        <w:rPr>
          <w:rFonts w:cs="Arial"/>
          <w:b/>
        </w:rPr>
      </w:pPr>
      <w:r w:rsidRPr="00BA600C">
        <w:rPr>
          <w:rFonts w:cs="Arial"/>
          <w:b/>
        </w:rPr>
        <w:t>Minimum Revenue Provision (MRP) Statement 2015/16</w:t>
      </w:r>
    </w:p>
    <w:p w:rsidR="00763D1D" w:rsidRPr="00763D1D" w:rsidRDefault="00763D1D" w:rsidP="00763D1D">
      <w:pPr>
        <w:pStyle w:val="ListParagraph"/>
        <w:rPr>
          <w:rFonts w:cs="Arial"/>
        </w:rPr>
      </w:pPr>
    </w:p>
    <w:p w:rsidR="00763D1D" w:rsidRDefault="00763D1D" w:rsidP="00E35DD4">
      <w:pPr>
        <w:pStyle w:val="ListParagraph"/>
        <w:numPr>
          <w:ilvl w:val="0"/>
          <w:numId w:val="3"/>
        </w:numPr>
        <w:rPr>
          <w:rFonts w:cs="Arial"/>
        </w:rPr>
      </w:pPr>
      <w:r>
        <w:rPr>
          <w:rFonts w:cs="Arial"/>
        </w:rPr>
        <w:t xml:space="preserve">Prudential borrowing increases the Council’s Capital Financing Requirement (CFR) or underlying need to borrow.  Whether the </w:t>
      </w:r>
      <w:r w:rsidR="002D4C95">
        <w:rPr>
          <w:rFonts w:cs="Arial"/>
        </w:rPr>
        <w:t>C</w:t>
      </w:r>
      <w:r>
        <w:rPr>
          <w:rFonts w:cs="Arial"/>
        </w:rPr>
        <w:t>ouncil actually borrows to finance capital expenditure is a treasury management decision unconnected to</w:t>
      </w:r>
      <w:r w:rsidR="00E660D7">
        <w:rPr>
          <w:rFonts w:cs="Arial"/>
        </w:rPr>
        <w:t xml:space="preserve"> t</w:t>
      </w:r>
      <w:r>
        <w:rPr>
          <w:rFonts w:cs="Arial"/>
        </w:rPr>
        <w:t xml:space="preserve">he capital financing decision.  In practice the </w:t>
      </w:r>
      <w:r w:rsidR="002D4C95">
        <w:rPr>
          <w:rFonts w:cs="Arial"/>
        </w:rPr>
        <w:t>C</w:t>
      </w:r>
      <w:r>
        <w:rPr>
          <w:rFonts w:cs="Arial"/>
        </w:rPr>
        <w:t xml:space="preserve">ouncil is unlikely to need to borrow externally in the medium term to fund the </w:t>
      </w:r>
      <w:r w:rsidR="002D4C95">
        <w:rPr>
          <w:rFonts w:cs="Arial"/>
        </w:rPr>
        <w:t>C</w:t>
      </w:r>
      <w:r>
        <w:rPr>
          <w:rFonts w:cs="Arial"/>
        </w:rPr>
        <w:t xml:space="preserve">apital </w:t>
      </w:r>
      <w:r w:rsidR="002D4C95">
        <w:rPr>
          <w:rFonts w:cs="Arial"/>
        </w:rPr>
        <w:t>P</w:t>
      </w:r>
      <w:r>
        <w:rPr>
          <w:rFonts w:cs="Arial"/>
        </w:rPr>
        <w:t>rogramme as it has sufficient cash balances.</w:t>
      </w:r>
      <w:r w:rsidR="00E660D7">
        <w:rPr>
          <w:rFonts w:cs="Arial"/>
        </w:rPr>
        <w:t xml:space="preserve">  The </w:t>
      </w:r>
      <w:r w:rsidR="00742EA0">
        <w:rPr>
          <w:rFonts w:cs="Arial"/>
        </w:rPr>
        <w:t>C</w:t>
      </w:r>
      <w:r w:rsidR="00E660D7">
        <w:rPr>
          <w:rFonts w:cs="Arial"/>
        </w:rPr>
        <w:t>ouncil is required to make a charge</w:t>
      </w:r>
      <w:r w:rsidR="00B36435">
        <w:rPr>
          <w:rFonts w:cs="Arial"/>
        </w:rPr>
        <w:t xml:space="preserve"> to its revenue account for internal borrowing.  This charge is known as Minimum Revenue Provision (MRP) and reflects the repayment of </w:t>
      </w:r>
      <w:r w:rsidR="00742EA0">
        <w:rPr>
          <w:rFonts w:cs="Arial"/>
        </w:rPr>
        <w:t>p</w:t>
      </w:r>
      <w:r w:rsidR="00BA3638">
        <w:rPr>
          <w:rFonts w:cs="Arial"/>
        </w:rPr>
        <w:t xml:space="preserve">rincipal </w:t>
      </w:r>
      <w:r w:rsidR="00742EA0">
        <w:rPr>
          <w:rFonts w:cs="Arial"/>
        </w:rPr>
        <w:t>borrowed.</w:t>
      </w:r>
    </w:p>
    <w:p w:rsidR="00B36435" w:rsidRPr="00B36435" w:rsidRDefault="00B36435" w:rsidP="00B36435">
      <w:pPr>
        <w:pStyle w:val="ListParagraph"/>
        <w:rPr>
          <w:rFonts w:cs="Arial"/>
        </w:rPr>
      </w:pPr>
    </w:p>
    <w:p w:rsidR="00B36435" w:rsidRDefault="00B36435" w:rsidP="00E35DD4">
      <w:pPr>
        <w:pStyle w:val="ListParagraph"/>
        <w:numPr>
          <w:ilvl w:val="0"/>
          <w:numId w:val="3"/>
        </w:numPr>
        <w:rPr>
          <w:rFonts w:cs="Arial"/>
        </w:rPr>
      </w:pPr>
      <w:r>
        <w:rPr>
          <w:rFonts w:cs="Arial"/>
        </w:rPr>
        <w:t xml:space="preserve">Regulations require Full Council to approve the Council’s MRP policy on an annual basis.  The </w:t>
      </w:r>
      <w:r w:rsidR="0094133F">
        <w:rPr>
          <w:rFonts w:cs="Arial"/>
        </w:rPr>
        <w:t xml:space="preserve">following statement is </w:t>
      </w:r>
      <w:r>
        <w:rPr>
          <w:rFonts w:cs="Arial"/>
        </w:rPr>
        <w:t>recommended</w:t>
      </w:r>
      <w:r w:rsidR="00742EA0">
        <w:rPr>
          <w:rFonts w:cs="Arial"/>
        </w:rPr>
        <w:t>:</w:t>
      </w:r>
      <w:r>
        <w:rPr>
          <w:rFonts w:cs="Arial"/>
        </w:rPr>
        <w:t xml:space="preserve"> </w:t>
      </w:r>
    </w:p>
    <w:p w:rsidR="00BA600C" w:rsidRPr="00BA600C" w:rsidRDefault="00BA600C" w:rsidP="00BA600C">
      <w:pPr>
        <w:pStyle w:val="ListParagraph"/>
        <w:rPr>
          <w:rFonts w:cs="Arial"/>
        </w:rPr>
      </w:pPr>
    </w:p>
    <w:p w:rsidR="00BA600C" w:rsidRPr="0097170A" w:rsidRDefault="00BA600C" w:rsidP="00BA600C">
      <w:pPr>
        <w:pStyle w:val="ListParagraph"/>
        <w:numPr>
          <w:ilvl w:val="0"/>
          <w:numId w:val="6"/>
        </w:numPr>
        <w:rPr>
          <w:rFonts w:cs="Arial"/>
        </w:rPr>
      </w:pPr>
      <w:r w:rsidRPr="0097170A">
        <w:rPr>
          <w:rFonts w:cs="Arial"/>
        </w:rPr>
        <w:t>For capital expenditure incurred before 1</w:t>
      </w:r>
      <w:r w:rsidRPr="0097170A">
        <w:rPr>
          <w:rFonts w:cs="Arial"/>
          <w:vertAlign w:val="superscript"/>
        </w:rPr>
        <w:t>st</w:t>
      </w:r>
      <w:r w:rsidRPr="0097170A">
        <w:rPr>
          <w:rFonts w:cs="Arial"/>
        </w:rPr>
        <w:t xml:space="preserve"> April 2008 or which in the future will be supported capital expenditure</w:t>
      </w:r>
      <w:r w:rsidRPr="0097170A">
        <w:rPr>
          <w:rStyle w:val="FootnoteReference"/>
          <w:rFonts w:cs="Arial"/>
        </w:rPr>
        <w:footnoteReference w:id="1"/>
      </w:r>
      <w:r w:rsidRPr="0097170A">
        <w:rPr>
          <w:rFonts w:cs="Arial"/>
        </w:rPr>
        <w:t>, existing practice, outlined in the former DCLG regulations will apply;</w:t>
      </w:r>
    </w:p>
    <w:p w:rsidR="000D29CD" w:rsidRPr="0097170A" w:rsidRDefault="000D29CD" w:rsidP="00BA600C">
      <w:pPr>
        <w:pStyle w:val="ListParagraph"/>
        <w:numPr>
          <w:ilvl w:val="0"/>
          <w:numId w:val="6"/>
        </w:numPr>
        <w:rPr>
          <w:rFonts w:cs="Arial"/>
        </w:rPr>
      </w:pPr>
      <w:r w:rsidRPr="0097170A">
        <w:rPr>
          <w:rFonts w:cs="Arial"/>
        </w:rPr>
        <w:t>For capital expenditure that relates to the assets transferred</w:t>
      </w:r>
      <w:r w:rsidR="00D33568" w:rsidRPr="0097170A">
        <w:rPr>
          <w:rFonts w:cs="Arial"/>
        </w:rPr>
        <w:t xml:space="preserve"> from HRA to GF- MRP will be based on the estimated useful life, but taking into account the number of years the assets have been in existence</w:t>
      </w:r>
      <w:r w:rsidR="007A3D0F">
        <w:rPr>
          <w:rFonts w:cs="Arial"/>
        </w:rPr>
        <w:t>, and previous funding allocated to them;</w:t>
      </w:r>
    </w:p>
    <w:p w:rsidR="00BA600C" w:rsidRPr="0097170A" w:rsidRDefault="00BA600C" w:rsidP="00BA600C">
      <w:pPr>
        <w:pStyle w:val="ListParagraph"/>
        <w:numPr>
          <w:ilvl w:val="0"/>
          <w:numId w:val="6"/>
        </w:numPr>
        <w:rPr>
          <w:rFonts w:cs="Arial"/>
        </w:rPr>
      </w:pPr>
      <w:r w:rsidRPr="0097170A">
        <w:rPr>
          <w:rFonts w:cs="Arial"/>
        </w:rPr>
        <w:t>For all unsupported borrowing</w:t>
      </w:r>
      <w:r w:rsidRPr="0097170A">
        <w:rPr>
          <w:rStyle w:val="FootnoteReference"/>
          <w:rFonts w:cs="Arial"/>
        </w:rPr>
        <w:footnoteReference w:id="2"/>
      </w:r>
      <w:r w:rsidRPr="0097170A">
        <w:rPr>
          <w:rFonts w:cs="Arial"/>
        </w:rPr>
        <w:t xml:space="preserve"> incurred after 1</w:t>
      </w:r>
      <w:r w:rsidRPr="0097170A">
        <w:rPr>
          <w:rFonts w:cs="Arial"/>
          <w:vertAlign w:val="superscript"/>
        </w:rPr>
        <w:t>st</w:t>
      </w:r>
      <w:r w:rsidRPr="0097170A">
        <w:rPr>
          <w:rFonts w:cs="Arial"/>
        </w:rPr>
        <w:t xml:space="preserve"> April 2008 the MRP policy will be the Asset Life Method</w:t>
      </w:r>
      <w:r w:rsidR="00EE3A3C">
        <w:rPr>
          <w:rFonts w:cs="Arial"/>
        </w:rPr>
        <w:t>, i.e. the</w:t>
      </w:r>
      <w:r w:rsidRPr="0097170A">
        <w:rPr>
          <w:rFonts w:cs="Arial"/>
        </w:rPr>
        <w:t xml:space="preserve"> MRP will be based on the estimated life of the asset and borrowing charged to the revenue account in equal instalments over the life of the asset.</w:t>
      </w:r>
    </w:p>
    <w:p w:rsidR="00B36435" w:rsidRPr="00B36435" w:rsidRDefault="00B36435" w:rsidP="00B36435">
      <w:pPr>
        <w:pStyle w:val="ListParagraph"/>
        <w:rPr>
          <w:rFonts w:cs="Arial"/>
        </w:rPr>
      </w:pPr>
    </w:p>
    <w:p w:rsidR="00E35DD4" w:rsidRDefault="00B36435" w:rsidP="00E35DD4">
      <w:pPr>
        <w:pStyle w:val="ListParagraph"/>
        <w:numPr>
          <w:ilvl w:val="0"/>
          <w:numId w:val="3"/>
        </w:numPr>
        <w:rPr>
          <w:rFonts w:cs="Arial"/>
        </w:rPr>
      </w:pPr>
      <w:r w:rsidRPr="00177257">
        <w:rPr>
          <w:rFonts w:cs="Arial"/>
        </w:rPr>
        <w:t>The</w:t>
      </w:r>
      <w:r w:rsidR="00ED7C49">
        <w:rPr>
          <w:rFonts w:cs="Arial"/>
        </w:rPr>
        <w:t xml:space="preserve"> </w:t>
      </w:r>
      <w:r w:rsidRPr="00177257">
        <w:rPr>
          <w:rFonts w:cs="Arial"/>
        </w:rPr>
        <w:t xml:space="preserve">HRA </w:t>
      </w:r>
      <w:r w:rsidR="00ED7C49">
        <w:rPr>
          <w:rFonts w:cs="Arial"/>
        </w:rPr>
        <w:t xml:space="preserve">is not required </w:t>
      </w:r>
      <w:r w:rsidRPr="00177257">
        <w:rPr>
          <w:rFonts w:cs="Arial"/>
        </w:rPr>
        <w:t>to make a MRP but is require</w:t>
      </w:r>
      <w:r w:rsidR="00617945">
        <w:rPr>
          <w:rFonts w:cs="Arial"/>
        </w:rPr>
        <w:t>d to make</w:t>
      </w:r>
      <w:r w:rsidRPr="00177257">
        <w:rPr>
          <w:rFonts w:cs="Arial"/>
        </w:rPr>
        <w:t xml:space="preserve"> a depreciation charge.  Regulations allow the Major Repairs Allowance</w:t>
      </w:r>
      <w:r w:rsidR="00177257" w:rsidRPr="00177257">
        <w:rPr>
          <w:rFonts w:cs="Arial"/>
        </w:rPr>
        <w:t xml:space="preserve"> (MRA) </w:t>
      </w:r>
      <w:r w:rsidRPr="00177257">
        <w:rPr>
          <w:rFonts w:cs="Arial"/>
        </w:rPr>
        <w:t>to be used</w:t>
      </w:r>
      <w:r w:rsidR="00177257" w:rsidRPr="00177257">
        <w:rPr>
          <w:rFonts w:cs="Arial"/>
        </w:rPr>
        <w:t xml:space="preserve"> as a proxy for depreciation for the first five year of the HRA self-financing scheme.  Depreciation on HRA properties is estimated at </w:t>
      </w:r>
      <w:r w:rsidR="00FC431B">
        <w:rPr>
          <w:rFonts w:cs="Arial"/>
        </w:rPr>
        <w:t>£6.3m</w:t>
      </w:r>
      <w:r w:rsidR="00177257" w:rsidRPr="00177257">
        <w:rPr>
          <w:rFonts w:cs="Arial"/>
        </w:rPr>
        <w:t xml:space="preserve"> per annum and the MRA received is in line with this</w:t>
      </w:r>
      <w:r w:rsidR="00177257">
        <w:rPr>
          <w:rFonts w:cs="Arial"/>
        </w:rPr>
        <w:t>.</w:t>
      </w:r>
      <w:r w:rsidR="0010559E">
        <w:rPr>
          <w:rFonts w:cs="Arial"/>
        </w:rPr>
        <w:t xml:space="preserve"> After the five year period depreciation will be a charge to the HRA with no offsetting available.</w:t>
      </w:r>
    </w:p>
    <w:p w:rsidR="00177257" w:rsidRPr="00177257" w:rsidRDefault="00177257" w:rsidP="00177257">
      <w:pPr>
        <w:pStyle w:val="ListParagraph"/>
        <w:rPr>
          <w:rFonts w:cs="Arial"/>
        </w:rPr>
      </w:pPr>
    </w:p>
    <w:p w:rsidR="00177257" w:rsidRDefault="00177257" w:rsidP="00E35DD4">
      <w:pPr>
        <w:pStyle w:val="ListParagraph"/>
        <w:numPr>
          <w:ilvl w:val="0"/>
          <w:numId w:val="3"/>
        </w:numPr>
        <w:rPr>
          <w:rFonts w:cs="Arial"/>
        </w:rPr>
      </w:pPr>
      <w:r>
        <w:rPr>
          <w:rFonts w:cs="Arial"/>
        </w:rPr>
        <w:t>The S151 officer</w:t>
      </w:r>
      <w:r w:rsidR="00BA600C">
        <w:rPr>
          <w:rFonts w:cs="Arial"/>
        </w:rPr>
        <w:t xml:space="preserve"> has delegated authority to determine the need for any future borrowing taking into account prevailing interest rates and associated risks.  A combination of long-term and short-term fixed and variable rate borrowing may be considered.  This may include borrowing in advance of future years’ requirements.</w:t>
      </w:r>
    </w:p>
    <w:p w:rsidR="00BA600C" w:rsidRPr="00BA600C" w:rsidRDefault="00BA600C" w:rsidP="00BA600C">
      <w:pPr>
        <w:pStyle w:val="ListParagraph"/>
        <w:rPr>
          <w:rFonts w:cs="Arial"/>
        </w:rPr>
      </w:pPr>
    </w:p>
    <w:p w:rsidR="00BA600C" w:rsidRDefault="00BA600C" w:rsidP="00E35DD4">
      <w:pPr>
        <w:pStyle w:val="ListParagraph"/>
        <w:numPr>
          <w:ilvl w:val="0"/>
          <w:numId w:val="3"/>
        </w:numPr>
        <w:rPr>
          <w:rFonts w:cs="Arial"/>
        </w:rPr>
      </w:pPr>
      <w:r>
        <w:rPr>
          <w:rFonts w:cs="Arial"/>
        </w:rPr>
        <w:t xml:space="preserve">Borrowing may be undertaken to fund the approved </w:t>
      </w:r>
      <w:r w:rsidR="00CC44CF">
        <w:rPr>
          <w:rFonts w:cs="Arial"/>
        </w:rPr>
        <w:t>C</w:t>
      </w:r>
      <w:r>
        <w:rPr>
          <w:rFonts w:cs="Arial"/>
        </w:rPr>
        <w:t xml:space="preserve">apital </w:t>
      </w:r>
      <w:r w:rsidR="00CC44CF">
        <w:rPr>
          <w:rFonts w:cs="Arial"/>
        </w:rPr>
        <w:t>P</w:t>
      </w:r>
      <w:r>
        <w:rPr>
          <w:rFonts w:cs="Arial"/>
        </w:rPr>
        <w:t>rogramme or to fund future debt maturities.  The S151 officer will adopt a cautious approach and take into account the following factors:</w:t>
      </w:r>
    </w:p>
    <w:p w:rsidR="0029389F" w:rsidRPr="0029389F" w:rsidRDefault="0029389F" w:rsidP="0029389F">
      <w:pPr>
        <w:pStyle w:val="ListParagraph"/>
        <w:rPr>
          <w:rFonts w:cs="Arial"/>
        </w:rPr>
      </w:pPr>
    </w:p>
    <w:p w:rsidR="0029389F" w:rsidRDefault="00BA1C5A" w:rsidP="0029389F">
      <w:pPr>
        <w:pStyle w:val="ListParagraph"/>
        <w:numPr>
          <w:ilvl w:val="0"/>
          <w:numId w:val="15"/>
        </w:numPr>
        <w:rPr>
          <w:rFonts w:cs="Arial"/>
        </w:rPr>
      </w:pPr>
      <w:r>
        <w:rPr>
          <w:rFonts w:cs="Arial"/>
        </w:rPr>
        <w:t>T</w:t>
      </w:r>
      <w:r w:rsidR="0029389F">
        <w:rPr>
          <w:rFonts w:cs="Arial"/>
        </w:rPr>
        <w:t>he on-going revenue liabilities created, and the implications for the future plans and budgets;</w:t>
      </w:r>
    </w:p>
    <w:p w:rsidR="0029389F" w:rsidRDefault="00D01E53" w:rsidP="0029389F">
      <w:pPr>
        <w:pStyle w:val="ListParagraph"/>
        <w:numPr>
          <w:ilvl w:val="0"/>
          <w:numId w:val="15"/>
        </w:numPr>
        <w:rPr>
          <w:rFonts w:cs="Arial"/>
        </w:rPr>
      </w:pPr>
      <w:r>
        <w:rPr>
          <w:rFonts w:cs="Arial"/>
        </w:rPr>
        <w:t>T</w:t>
      </w:r>
      <w:r w:rsidR="0029389F">
        <w:rPr>
          <w:rFonts w:cs="Arial"/>
        </w:rPr>
        <w:t>he economic and market factors that might influence the manner and timing of any decision to borrow</w:t>
      </w:r>
      <w:r w:rsidR="00744360">
        <w:rPr>
          <w:rFonts w:cs="Arial"/>
        </w:rPr>
        <w:t>;</w:t>
      </w:r>
    </w:p>
    <w:p w:rsidR="0029389F" w:rsidRDefault="00D01E53" w:rsidP="0029389F">
      <w:pPr>
        <w:pStyle w:val="ListParagraph"/>
        <w:numPr>
          <w:ilvl w:val="0"/>
          <w:numId w:val="15"/>
        </w:numPr>
        <w:rPr>
          <w:rFonts w:cs="Arial"/>
        </w:rPr>
      </w:pPr>
      <w:r>
        <w:rPr>
          <w:rFonts w:cs="Arial"/>
        </w:rPr>
        <w:t>T</w:t>
      </w:r>
      <w:r w:rsidR="0029389F">
        <w:rPr>
          <w:rFonts w:cs="Arial"/>
        </w:rPr>
        <w:t>he pros and cons of alternative forms of funding including internal borrowing</w:t>
      </w:r>
      <w:r w:rsidR="00744360">
        <w:rPr>
          <w:rFonts w:cs="Arial"/>
        </w:rPr>
        <w:t>;</w:t>
      </w:r>
    </w:p>
    <w:p w:rsidR="0029389F" w:rsidRPr="0029389F" w:rsidRDefault="00E918B8" w:rsidP="0029389F">
      <w:pPr>
        <w:pStyle w:val="ListParagraph"/>
        <w:numPr>
          <w:ilvl w:val="0"/>
          <w:numId w:val="15"/>
        </w:numPr>
        <w:rPr>
          <w:rFonts w:cs="Arial"/>
        </w:rPr>
      </w:pPr>
      <w:r>
        <w:rPr>
          <w:rFonts w:cs="Arial"/>
        </w:rPr>
        <w:t>T</w:t>
      </w:r>
      <w:r w:rsidR="0029389F">
        <w:rPr>
          <w:rFonts w:cs="Arial"/>
        </w:rPr>
        <w:t>he impac</w:t>
      </w:r>
      <w:r w:rsidR="00AD678C">
        <w:rPr>
          <w:rFonts w:cs="Arial"/>
        </w:rPr>
        <w:t xml:space="preserve">t of borrowing in advance on </w:t>
      </w:r>
      <w:r w:rsidR="0029389F">
        <w:rPr>
          <w:rFonts w:cs="Arial"/>
        </w:rPr>
        <w:t xml:space="preserve">cash balances and the </w:t>
      </w:r>
      <w:r w:rsidR="00744360">
        <w:rPr>
          <w:rFonts w:cs="Arial"/>
        </w:rPr>
        <w:t>consequent increase</w:t>
      </w:r>
      <w:r w:rsidR="0029389F">
        <w:rPr>
          <w:rFonts w:cs="Arial"/>
        </w:rPr>
        <w:t xml:space="preserve"> in counterparty risk</w:t>
      </w:r>
      <w:r w:rsidR="00AD678C">
        <w:rPr>
          <w:rFonts w:cs="Arial"/>
        </w:rPr>
        <w:t>.</w:t>
      </w:r>
    </w:p>
    <w:p w:rsidR="00BA600C" w:rsidRPr="00BA600C" w:rsidRDefault="00BA600C" w:rsidP="00BA600C">
      <w:pPr>
        <w:pStyle w:val="ListParagraph"/>
        <w:rPr>
          <w:rFonts w:cs="Arial"/>
        </w:rPr>
      </w:pPr>
    </w:p>
    <w:p w:rsidR="008970C3" w:rsidRDefault="006C0177" w:rsidP="008970C3">
      <w:pPr>
        <w:pStyle w:val="ListParagraph"/>
        <w:numPr>
          <w:ilvl w:val="0"/>
          <w:numId w:val="3"/>
        </w:numPr>
        <w:rPr>
          <w:rFonts w:cs="Arial"/>
        </w:rPr>
      </w:pPr>
      <w:r w:rsidRPr="006C0177">
        <w:rPr>
          <w:rFonts w:cs="Arial"/>
        </w:rPr>
        <w:t xml:space="preserve">Council officers, in conjunction with </w:t>
      </w:r>
      <w:r>
        <w:rPr>
          <w:rFonts w:cs="Arial"/>
        </w:rPr>
        <w:t>our treasury advisors, Capita Asset Services</w:t>
      </w:r>
      <w:r w:rsidR="0096528B">
        <w:rPr>
          <w:rFonts w:cs="Arial"/>
        </w:rPr>
        <w:t xml:space="preserve"> -</w:t>
      </w:r>
      <w:r w:rsidR="000D29CD">
        <w:rPr>
          <w:rFonts w:cs="Arial"/>
        </w:rPr>
        <w:t xml:space="preserve"> Treasury solutions</w:t>
      </w:r>
      <w:r>
        <w:rPr>
          <w:rFonts w:cs="Arial"/>
        </w:rPr>
        <w:t xml:space="preserve">, monitor both prevailing interest rates and market forecasts, thereby allowing the </w:t>
      </w:r>
      <w:r w:rsidR="00E918B8">
        <w:rPr>
          <w:rFonts w:cs="Arial"/>
        </w:rPr>
        <w:t>C</w:t>
      </w:r>
      <w:r>
        <w:rPr>
          <w:rFonts w:cs="Arial"/>
        </w:rPr>
        <w:t>ouncil to respond to any changes that may impact on the timing and manner of borrowing decisions, to ensure these are optimised.</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The Council had £200.5m of external debt as at 1</w:t>
      </w:r>
      <w:r w:rsidRPr="006C0177">
        <w:rPr>
          <w:rFonts w:cs="Arial"/>
          <w:vertAlign w:val="superscript"/>
        </w:rPr>
        <w:t>st</w:t>
      </w:r>
      <w:r>
        <w:rPr>
          <w:rFonts w:cs="Arial"/>
        </w:rPr>
        <w:t xml:space="preserve"> April 2014, all of which </w:t>
      </w:r>
      <w:r w:rsidR="004825C6">
        <w:rPr>
          <w:rFonts w:cs="Arial"/>
        </w:rPr>
        <w:t>was</w:t>
      </w:r>
      <w:r>
        <w:rPr>
          <w:rFonts w:cs="Arial"/>
        </w:rPr>
        <w:t xml:space="preserve"> held at fixed rates with varying maturity terms up</w:t>
      </w:r>
      <w:r w:rsidR="0094133F">
        <w:rPr>
          <w:rFonts w:cs="Arial"/>
        </w:rPr>
        <w:t xml:space="preserve"> </w:t>
      </w:r>
      <w:r>
        <w:rPr>
          <w:rFonts w:cs="Arial"/>
        </w:rPr>
        <w:t>to 2057.  This debt is wholly related to housing.</w:t>
      </w:r>
    </w:p>
    <w:p w:rsidR="006C0177" w:rsidRPr="006C0177" w:rsidRDefault="006C0177" w:rsidP="006C0177">
      <w:pPr>
        <w:pStyle w:val="ListParagraph"/>
        <w:rPr>
          <w:rFonts w:cs="Arial"/>
        </w:rPr>
      </w:pPr>
    </w:p>
    <w:p w:rsidR="006C0177" w:rsidRDefault="006C0177" w:rsidP="008970C3">
      <w:pPr>
        <w:pStyle w:val="ListParagraph"/>
        <w:numPr>
          <w:ilvl w:val="0"/>
          <w:numId w:val="3"/>
        </w:numPr>
        <w:rPr>
          <w:rFonts w:cs="Arial"/>
        </w:rPr>
      </w:pPr>
      <w:r>
        <w:rPr>
          <w:rFonts w:cs="Arial"/>
        </w:rPr>
        <w:t xml:space="preserve">Repayments during 2014/15 </w:t>
      </w:r>
      <w:r w:rsidR="00E931CB">
        <w:rPr>
          <w:rFonts w:cs="Arial"/>
        </w:rPr>
        <w:t>will reduce th</w:t>
      </w:r>
      <w:r w:rsidR="004825C6">
        <w:rPr>
          <w:rFonts w:cs="Arial"/>
        </w:rPr>
        <w:t>e</w:t>
      </w:r>
      <w:r w:rsidR="00E931CB">
        <w:rPr>
          <w:rFonts w:cs="Arial"/>
        </w:rPr>
        <w:t xml:space="preserve"> debt to </w:t>
      </w:r>
      <w:r>
        <w:rPr>
          <w:rFonts w:cs="Arial"/>
        </w:rPr>
        <w:t>£</w:t>
      </w:r>
      <w:r w:rsidR="00FC431B">
        <w:rPr>
          <w:rFonts w:cs="Arial"/>
        </w:rPr>
        <w:t>200.1m</w:t>
      </w:r>
      <w:r>
        <w:rPr>
          <w:rFonts w:cs="Arial"/>
        </w:rPr>
        <w:t xml:space="preserve"> as at 31</w:t>
      </w:r>
      <w:r w:rsidRPr="006C0177">
        <w:rPr>
          <w:rFonts w:cs="Arial"/>
          <w:vertAlign w:val="superscript"/>
        </w:rPr>
        <w:t>st</w:t>
      </w:r>
      <w:r>
        <w:rPr>
          <w:rFonts w:cs="Arial"/>
        </w:rPr>
        <w:t xml:space="preserve"> M</w:t>
      </w:r>
      <w:r w:rsidR="00E931CB">
        <w:rPr>
          <w:rFonts w:cs="Arial"/>
        </w:rPr>
        <w:t>arch 2015.</w:t>
      </w:r>
    </w:p>
    <w:p w:rsidR="00E931CB" w:rsidRPr="00E931CB" w:rsidRDefault="00E931CB" w:rsidP="00E931CB">
      <w:pPr>
        <w:pStyle w:val="ListParagraph"/>
        <w:rPr>
          <w:rFonts w:cs="Arial"/>
        </w:rPr>
      </w:pPr>
    </w:p>
    <w:p w:rsidR="00E931CB" w:rsidRDefault="00E931CB" w:rsidP="008970C3">
      <w:pPr>
        <w:pStyle w:val="ListParagraph"/>
        <w:numPr>
          <w:ilvl w:val="0"/>
          <w:numId w:val="3"/>
        </w:numPr>
        <w:rPr>
          <w:rFonts w:cs="Arial"/>
        </w:rPr>
      </w:pPr>
      <w:r>
        <w:rPr>
          <w:rFonts w:cs="Arial"/>
        </w:rPr>
        <w:t xml:space="preserve">The </w:t>
      </w:r>
      <w:r w:rsidR="004825C6">
        <w:rPr>
          <w:rFonts w:cs="Arial"/>
        </w:rPr>
        <w:t>C</w:t>
      </w:r>
      <w:r>
        <w:rPr>
          <w:rFonts w:cs="Arial"/>
        </w:rPr>
        <w:t>ouncil</w:t>
      </w:r>
      <w:r w:rsidR="004825C6">
        <w:rPr>
          <w:rFonts w:cs="Arial"/>
        </w:rPr>
        <w:t>’</w:t>
      </w:r>
      <w:r>
        <w:rPr>
          <w:rFonts w:cs="Arial"/>
        </w:rPr>
        <w:t>s CFR as at 1</w:t>
      </w:r>
      <w:r w:rsidRPr="00E931CB">
        <w:rPr>
          <w:rFonts w:cs="Arial"/>
          <w:vertAlign w:val="superscript"/>
        </w:rPr>
        <w:t>st</w:t>
      </w:r>
      <w:r>
        <w:rPr>
          <w:rFonts w:cs="Arial"/>
        </w:rPr>
        <w:t xml:space="preserve"> April 2014 </w:t>
      </w:r>
      <w:r w:rsidR="00BE125B">
        <w:rPr>
          <w:rFonts w:cs="Arial"/>
        </w:rPr>
        <w:t>exceeded</w:t>
      </w:r>
      <w:r>
        <w:rPr>
          <w:rFonts w:cs="Arial"/>
        </w:rPr>
        <w:t xml:space="preserve"> the level of external borrowing</w:t>
      </w:r>
      <w:r w:rsidR="004850B1">
        <w:rPr>
          <w:rFonts w:cs="Arial"/>
        </w:rPr>
        <w:t xml:space="preserve">, and is an indication of the </w:t>
      </w:r>
      <w:r w:rsidR="00BE125B">
        <w:rPr>
          <w:rFonts w:cs="Arial"/>
        </w:rPr>
        <w:t>C</w:t>
      </w:r>
      <w:r w:rsidR="004850B1">
        <w:rPr>
          <w:rFonts w:cs="Arial"/>
        </w:rPr>
        <w:t xml:space="preserve">ouncil’s underlying need to borrow to fund its capital investments </w:t>
      </w:r>
      <w:r w:rsidR="00BE125B">
        <w:rPr>
          <w:rFonts w:cs="Arial"/>
        </w:rPr>
        <w:t>due to</w:t>
      </w:r>
      <w:r w:rsidR="004850B1">
        <w:rPr>
          <w:rFonts w:cs="Arial"/>
        </w:rPr>
        <w:t xml:space="preserve"> the level of internal borrowing that has been undertaken over the past few years.</w:t>
      </w:r>
    </w:p>
    <w:p w:rsidR="004850B1" w:rsidRPr="004850B1" w:rsidRDefault="004850B1" w:rsidP="004850B1">
      <w:pPr>
        <w:pStyle w:val="ListParagraph"/>
        <w:rPr>
          <w:rFonts w:cs="Arial"/>
        </w:rPr>
      </w:pPr>
    </w:p>
    <w:p w:rsidR="004850B1" w:rsidRDefault="00BE125B" w:rsidP="008970C3">
      <w:pPr>
        <w:pStyle w:val="ListParagraph"/>
        <w:numPr>
          <w:ilvl w:val="0"/>
          <w:numId w:val="3"/>
        </w:numPr>
        <w:rPr>
          <w:rFonts w:cs="Arial"/>
        </w:rPr>
      </w:pPr>
      <w:r>
        <w:rPr>
          <w:rFonts w:cs="Arial"/>
        </w:rPr>
        <w:t>T</w:t>
      </w:r>
      <w:r w:rsidR="004850B1">
        <w:rPr>
          <w:rFonts w:cs="Arial"/>
        </w:rPr>
        <w:t>his position is expected to continue</w:t>
      </w:r>
      <w:r w:rsidR="00074875">
        <w:rPr>
          <w:rFonts w:cs="Arial"/>
        </w:rPr>
        <w:t xml:space="preserve"> </w:t>
      </w:r>
      <w:r>
        <w:rPr>
          <w:rFonts w:cs="Arial"/>
        </w:rPr>
        <w:t>in the short term and</w:t>
      </w:r>
      <w:r w:rsidR="004850B1">
        <w:rPr>
          <w:rFonts w:cs="Arial"/>
        </w:rPr>
        <w:t xml:space="preserve"> indicates a potential need to borrow on the external market in the medium term, </w:t>
      </w:r>
      <w:r w:rsidR="0094133F">
        <w:rPr>
          <w:rFonts w:cs="Arial"/>
        </w:rPr>
        <w:t>i</w:t>
      </w:r>
      <w:r w:rsidR="004850B1">
        <w:rPr>
          <w:rFonts w:cs="Arial"/>
        </w:rPr>
        <w:t xml:space="preserve">f all schemes in the proposed </w:t>
      </w:r>
      <w:r w:rsidR="003003B7">
        <w:rPr>
          <w:rFonts w:cs="Arial"/>
        </w:rPr>
        <w:t>C</w:t>
      </w:r>
      <w:r w:rsidR="004850B1">
        <w:rPr>
          <w:rFonts w:cs="Arial"/>
        </w:rPr>
        <w:t xml:space="preserve">apital </w:t>
      </w:r>
      <w:r w:rsidR="003003B7">
        <w:rPr>
          <w:rFonts w:cs="Arial"/>
        </w:rPr>
        <w:t>P</w:t>
      </w:r>
      <w:r w:rsidR="004850B1">
        <w:rPr>
          <w:rFonts w:cs="Arial"/>
        </w:rPr>
        <w:t>rogramme go ahead.</w:t>
      </w:r>
    </w:p>
    <w:p w:rsidR="004850B1" w:rsidRPr="004850B1" w:rsidRDefault="00754526" w:rsidP="004850B1">
      <w:pPr>
        <w:pStyle w:val="ListParagraph"/>
        <w:rPr>
          <w:rFonts w:cs="Arial"/>
        </w:rPr>
      </w:pPr>
      <w:r>
        <w:rPr>
          <w:rFonts w:cs="Arial"/>
        </w:rPr>
        <w:t xml:space="preserve">              </w:t>
      </w:r>
    </w:p>
    <w:p w:rsidR="004850B1" w:rsidRDefault="00754526" w:rsidP="008970C3">
      <w:pPr>
        <w:pStyle w:val="ListParagraph"/>
        <w:numPr>
          <w:ilvl w:val="0"/>
          <w:numId w:val="3"/>
        </w:numPr>
        <w:rPr>
          <w:rFonts w:cs="Arial"/>
        </w:rPr>
      </w:pPr>
      <w:r>
        <w:rPr>
          <w:rFonts w:cs="Arial"/>
        </w:rPr>
        <w:t xml:space="preserve">In summary </w:t>
      </w:r>
      <w:r w:rsidR="00AD678C">
        <w:rPr>
          <w:rFonts w:cs="Arial"/>
        </w:rPr>
        <w:t xml:space="preserve">the main change to the borrowing strategy </w:t>
      </w:r>
      <w:r w:rsidR="002352B7">
        <w:rPr>
          <w:rFonts w:cs="Arial"/>
        </w:rPr>
        <w:t>is</w:t>
      </w:r>
      <w:r w:rsidR="00AD678C">
        <w:rPr>
          <w:rFonts w:cs="Arial"/>
        </w:rPr>
        <w:t xml:space="preserve"> to utilise the CFR headroom on the HRA </w:t>
      </w:r>
      <w:r w:rsidR="004D696C">
        <w:rPr>
          <w:rFonts w:cs="Arial"/>
        </w:rPr>
        <w:t>to</w:t>
      </w:r>
      <w:r w:rsidR="00AD678C">
        <w:rPr>
          <w:rFonts w:cs="Arial"/>
        </w:rPr>
        <w:t xml:space="preserve"> borrow a further £32m over the next four years.</w:t>
      </w:r>
    </w:p>
    <w:p w:rsidR="00754526" w:rsidRDefault="00754526" w:rsidP="00754526">
      <w:pPr>
        <w:rPr>
          <w:rFonts w:cs="Arial"/>
        </w:rPr>
      </w:pPr>
    </w:p>
    <w:p w:rsidR="00754526" w:rsidRPr="00754526" w:rsidRDefault="00754526" w:rsidP="00754526">
      <w:pPr>
        <w:rPr>
          <w:rFonts w:cs="Arial"/>
          <w:b/>
        </w:rPr>
      </w:pPr>
      <w:r w:rsidRPr="00754526">
        <w:rPr>
          <w:rFonts w:cs="Arial"/>
          <w:b/>
        </w:rPr>
        <w:t>Investment Strategy 2015/16</w:t>
      </w:r>
    </w:p>
    <w:p w:rsidR="00754526" w:rsidRPr="00754526" w:rsidRDefault="00754526" w:rsidP="00754526">
      <w:pPr>
        <w:rPr>
          <w:rFonts w:cs="Arial"/>
          <w:b/>
        </w:rPr>
      </w:pPr>
      <w:r w:rsidRPr="00754526">
        <w:rPr>
          <w:rFonts w:cs="Arial"/>
          <w:b/>
        </w:rPr>
        <w:t>Interest rates</w:t>
      </w:r>
    </w:p>
    <w:p w:rsidR="00754526" w:rsidRPr="00754526" w:rsidRDefault="00754526" w:rsidP="00754526">
      <w:pPr>
        <w:rPr>
          <w:rFonts w:cs="Arial"/>
        </w:rPr>
      </w:pPr>
    </w:p>
    <w:p w:rsidR="00754526" w:rsidRDefault="00754526" w:rsidP="00754526">
      <w:pPr>
        <w:pStyle w:val="ListParagraph"/>
        <w:numPr>
          <w:ilvl w:val="0"/>
          <w:numId w:val="3"/>
        </w:numPr>
        <w:rPr>
          <w:rFonts w:cs="Arial"/>
        </w:rPr>
      </w:pPr>
      <w:r w:rsidRPr="00754526">
        <w:rPr>
          <w:rFonts w:cs="Arial"/>
        </w:rPr>
        <w:t>Average cash balances are currently £69.4m</w:t>
      </w:r>
      <w:r w:rsidR="00B80626">
        <w:rPr>
          <w:rFonts w:cs="Arial"/>
        </w:rPr>
        <w:t>.  They have</w:t>
      </w:r>
      <w:r w:rsidRPr="00754526">
        <w:rPr>
          <w:rFonts w:cs="Arial"/>
        </w:rPr>
        <w:t xml:space="preserve"> fluctuated between £63.7m to £76.</w:t>
      </w:r>
      <w:r>
        <w:rPr>
          <w:rFonts w:cs="Arial"/>
        </w:rPr>
        <w:t>1m during the year</w:t>
      </w:r>
      <w:r w:rsidR="0094133F">
        <w:rPr>
          <w:rFonts w:cs="Arial"/>
        </w:rPr>
        <w:t xml:space="preserve"> to date</w:t>
      </w:r>
      <w:r>
        <w:rPr>
          <w:rFonts w:cs="Arial"/>
        </w:rPr>
        <w:t>.</w:t>
      </w:r>
    </w:p>
    <w:p w:rsidR="00754526" w:rsidRDefault="00754526" w:rsidP="00754526">
      <w:pPr>
        <w:pStyle w:val="ListParagraph"/>
        <w:rPr>
          <w:rFonts w:cs="Arial"/>
        </w:rPr>
      </w:pPr>
    </w:p>
    <w:p w:rsidR="00754526" w:rsidRDefault="00754526" w:rsidP="00754526">
      <w:pPr>
        <w:pStyle w:val="ListParagraph"/>
        <w:numPr>
          <w:ilvl w:val="0"/>
          <w:numId w:val="3"/>
        </w:numPr>
        <w:rPr>
          <w:rFonts w:cs="Arial"/>
        </w:rPr>
      </w:pPr>
      <w:r>
        <w:rPr>
          <w:rFonts w:cs="Arial"/>
        </w:rPr>
        <w:t xml:space="preserve">Interest rates </w:t>
      </w:r>
      <w:r w:rsidR="00BA5ABE">
        <w:rPr>
          <w:rFonts w:cs="Arial"/>
        </w:rPr>
        <w:t>remain</w:t>
      </w:r>
      <w:r>
        <w:rPr>
          <w:rFonts w:cs="Arial"/>
        </w:rPr>
        <w:t xml:space="preserve"> at an all-time low, with the Base Rate having been held at 0.50% since March 2009.  </w:t>
      </w:r>
      <w:r w:rsidR="00DA7A03">
        <w:rPr>
          <w:rFonts w:cs="Arial"/>
        </w:rPr>
        <w:t>The Council</w:t>
      </w:r>
      <w:r w:rsidR="00BA5ABE">
        <w:rPr>
          <w:rFonts w:cs="Arial"/>
        </w:rPr>
        <w:t>’</w:t>
      </w:r>
      <w:r w:rsidR="00DA7A03">
        <w:rPr>
          <w:rFonts w:cs="Arial"/>
        </w:rPr>
        <w:t xml:space="preserve">s advisors </w:t>
      </w:r>
      <w:r>
        <w:rPr>
          <w:rFonts w:cs="Arial"/>
        </w:rPr>
        <w:t>expect</w:t>
      </w:r>
      <w:r w:rsidR="00BB6C40">
        <w:rPr>
          <w:rFonts w:cs="Arial"/>
        </w:rPr>
        <w:t xml:space="preserve"> </w:t>
      </w:r>
      <w:r w:rsidR="00DA7A03">
        <w:rPr>
          <w:rFonts w:cs="Arial"/>
        </w:rPr>
        <w:t xml:space="preserve">rates </w:t>
      </w:r>
      <w:r>
        <w:rPr>
          <w:rFonts w:cs="Arial"/>
        </w:rPr>
        <w:t xml:space="preserve">to begin to rise </w:t>
      </w:r>
      <w:r w:rsidR="00DA7A03">
        <w:rPr>
          <w:rFonts w:cs="Arial"/>
        </w:rPr>
        <w:t xml:space="preserve">slowly </w:t>
      </w:r>
      <w:r>
        <w:rPr>
          <w:rFonts w:cs="Arial"/>
        </w:rPr>
        <w:t xml:space="preserve">during </w:t>
      </w:r>
      <w:r w:rsidR="00074875">
        <w:rPr>
          <w:rFonts w:cs="Arial"/>
        </w:rPr>
        <w:t>2015 peaking</w:t>
      </w:r>
      <w:r>
        <w:rPr>
          <w:rFonts w:cs="Arial"/>
        </w:rPr>
        <w:t xml:space="preserve"> at around 3%</w:t>
      </w:r>
      <w:r w:rsidR="00074875">
        <w:rPr>
          <w:rFonts w:cs="Arial"/>
        </w:rPr>
        <w:t xml:space="preserve"> by 2017/18</w:t>
      </w:r>
      <w:r>
        <w:rPr>
          <w:rFonts w:cs="Arial"/>
        </w:rPr>
        <w:t>.</w:t>
      </w:r>
    </w:p>
    <w:p w:rsidR="00D33568" w:rsidRPr="00D33568" w:rsidRDefault="00D33568" w:rsidP="00D33568">
      <w:pPr>
        <w:rPr>
          <w:rFonts w:cs="Arial"/>
        </w:rPr>
      </w:pPr>
    </w:p>
    <w:p w:rsidR="00754526" w:rsidRDefault="00754526" w:rsidP="00074875">
      <w:pPr>
        <w:pStyle w:val="ListParagraph"/>
        <w:numPr>
          <w:ilvl w:val="0"/>
          <w:numId w:val="3"/>
        </w:numPr>
        <w:rPr>
          <w:rFonts w:cs="Arial"/>
        </w:rPr>
      </w:pPr>
      <w:r w:rsidRPr="00FA76FD">
        <w:rPr>
          <w:rFonts w:cs="Arial"/>
        </w:rPr>
        <w:t>All existin</w:t>
      </w:r>
      <w:r w:rsidRPr="00B058D5">
        <w:rPr>
          <w:rFonts w:cs="Arial"/>
        </w:rPr>
        <w:t>g i</w:t>
      </w:r>
      <w:r w:rsidR="003F41E4" w:rsidRPr="00B058D5">
        <w:rPr>
          <w:rFonts w:cs="Arial"/>
        </w:rPr>
        <w:t>nvestment deal</w:t>
      </w:r>
      <w:r w:rsidR="003F41E4" w:rsidRPr="00E37135">
        <w:rPr>
          <w:rFonts w:cs="Arial"/>
        </w:rPr>
        <w:t xml:space="preserve"> </w:t>
      </w:r>
      <w:r w:rsidR="003F41E4" w:rsidRPr="00FA76FD">
        <w:rPr>
          <w:rFonts w:cs="Arial"/>
        </w:rPr>
        <w:t xml:space="preserve">terms </w:t>
      </w:r>
      <w:r w:rsidR="00BA5ABE" w:rsidRPr="00FA76FD">
        <w:rPr>
          <w:rFonts w:cs="Arial"/>
        </w:rPr>
        <w:t>are</w:t>
      </w:r>
      <w:r w:rsidR="003F41E4" w:rsidRPr="00FA76FD">
        <w:rPr>
          <w:rFonts w:cs="Arial"/>
        </w:rPr>
        <w:t xml:space="preserve"> less than 364 days.  The </w:t>
      </w:r>
      <w:r w:rsidR="00D4601E" w:rsidRPr="00FA76FD">
        <w:rPr>
          <w:rFonts w:cs="Arial"/>
        </w:rPr>
        <w:t>S</w:t>
      </w:r>
      <w:r w:rsidR="003F41E4" w:rsidRPr="00FA76FD">
        <w:rPr>
          <w:rFonts w:cs="Arial"/>
        </w:rPr>
        <w:t xml:space="preserve">trategy allows for investments beyond 364 days with high quality </w:t>
      </w:r>
      <w:r w:rsidR="00BB6C40" w:rsidRPr="00FA76FD">
        <w:rPr>
          <w:rFonts w:cs="Arial"/>
        </w:rPr>
        <w:t>counterparties;</w:t>
      </w:r>
      <w:r w:rsidR="003F41E4" w:rsidRPr="00FA76FD">
        <w:rPr>
          <w:rFonts w:cs="Arial"/>
        </w:rPr>
        <w:t xml:space="preserve"> however</w:t>
      </w:r>
      <w:r w:rsidR="00FA76FD" w:rsidRPr="00FA76FD">
        <w:rPr>
          <w:rFonts w:cs="Arial"/>
        </w:rPr>
        <w:t xml:space="preserve"> </w:t>
      </w:r>
      <w:r w:rsidR="00D4601E" w:rsidRPr="00FA76FD">
        <w:rPr>
          <w:rFonts w:cs="Arial"/>
        </w:rPr>
        <w:t xml:space="preserve">prevailing </w:t>
      </w:r>
      <w:r w:rsidR="00FA76FD" w:rsidRPr="00FA76FD">
        <w:rPr>
          <w:rFonts w:cs="Arial"/>
        </w:rPr>
        <w:t xml:space="preserve">interest </w:t>
      </w:r>
      <w:r w:rsidR="00D4601E" w:rsidRPr="00FA76FD">
        <w:rPr>
          <w:rFonts w:cs="Arial"/>
        </w:rPr>
        <w:t>r</w:t>
      </w:r>
      <w:r w:rsidR="003F41E4" w:rsidRPr="00FA76FD">
        <w:rPr>
          <w:rFonts w:cs="Arial"/>
        </w:rPr>
        <w:t xml:space="preserve">ates have not been attractive enough to outweigh the additional risk that a longer term investment brings.  </w:t>
      </w:r>
    </w:p>
    <w:p w:rsidR="00074875" w:rsidRPr="00074875" w:rsidRDefault="00074875" w:rsidP="00074875">
      <w:pPr>
        <w:rPr>
          <w:rFonts w:cs="Arial"/>
        </w:rPr>
      </w:pPr>
    </w:p>
    <w:p w:rsidR="008970C3" w:rsidRDefault="008970C3" w:rsidP="005A67A4">
      <w:pPr>
        <w:pStyle w:val="ListParagraph"/>
        <w:numPr>
          <w:ilvl w:val="0"/>
          <w:numId w:val="3"/>
        </w:numPr>
        <w:rPr>
          <w:rFonts w:cs="Arial"/>
        </w:rPr>
      </w:pPr>
      <w:r>
        <w:rPr>
          <w:rFonts w:cs="Arial"/>
        </w:rPr>
        <w:t>Investments are made in accordance with the Council’s Treasury Management Strategy such that returns are balanced against security of investment, liquidity of cash to ensure funding of day to day cash flows and yield.</w:t>
      </w:r>
      <w:r w:rsidR="003F41E4">
        <w:rPr>
          <w:rFonts w:cs="Arial"/>
        </w:rPr>
        <w:t xml:space="preserve">  Consequently procedures are in place to determine the maximum periods that funds may be invested for, as well as the nature of those investments.</w:t>
      </w:r>
    </w:p>
    <w:p w:rsidR="003F41E4" w:rsidRPr="003F41E4" w:rsidRDefault="003F41E4" w:rsidP="003F41E4">
      <w:pPr>
        <w:pStyle w:val="ListParagraph"/>
        <w:rPr>
          <w:rFonts w:cs="Arial"/>
        </w:rPr>
      </w:pPr>
    </w:p>
    <w:p w:rsidR="003F41E4" w:rsidRDefault="003F41E4" w:rsidP="005A67A4">
      <w:pPr>
        <w:pStyle w:val="ListParagraph"/>
        <w:numPr>
          <w:ilvl w:val="0"/>
          <w:numId w:val="3"/>
        </w:numPr>
        <w:rPr>
          <w:rFonts w:cs="Arial"/>
        </w:rPr>
      </w:pPr>
      <w:r>
        <w:rPr>
          <w:rFonts w:cs="Arial"/>
        </w:rPr>
        <w:t xml:space="preserve">The </w:t>
      </w:r>
      <w:r w:rsidR="00FA76FD">
        <w:rPr>
          <w:rFonts w:cs="Arial"/>
        </w:rPr>
        <w:t>C</w:t>
      </w:r>
      <w:r>
        <w:rPr>
          <w:rFonts w:cs="Arial"/>
        </w:rPr>
        <w:t>ouncil works to achieve the optimum rate of return on its investments commensurate with proper levels of security and liquidity.</w:t>
      </w:r>
    </w:p>
    <w:p w:rsidR="003F41E4" w:rsidRPr="003F41E4" w:rsidRDefault="003F41E4" w:rsidP="003F41E4">
      <w:pPr>
        <w:pStyle w:val="ListParagraph"/>
        <w:rPr>
          <w:rFonts w:cs="Arial"/>
        </w:rPr>
      </w:pPr>
    </w:p>
    <w:p w:rsidR="003F41E4" w:rsidRDefault="00FB36D5" w:rsidP="005A67A4">
      <w:pPr>
        <w:pStyle w:val="ListParagraph"/>
        <w:numPr>
          <w:ilvl w:val="0"/>
          <w:numId w:val="3"/>
        </w:numPr>
        <w:rPr>
          <w:rFonts w:cs="Arial"/>
        </w:rPr>
      </w:pPr>
      <w:r>
        <w:rPr>
          <w:rFonts w:cs="Arial"/>
        </w:rPr>
        <w:t xml:space="preserve">Investment instruments identified for use are listed in Appendix 1 under the specified and non-specified investment categories.  Counterparty limits are set in accordance with the </w:t>
      </w:r>
      <w:r w:rsidR="00FA76FD">
        <w:rPr>
          <w:rFonts w:cs="Arial"/>
        </w:rPr>
        <w:t>C</w:t>
      </w:r>
      <w:r>
        <w:rPr>
          <w:rFonts w:cs="Arial"/>
        </w:rPr>
        <w:t xml:space="preserve">ouncil’s </w:t>
      </w:r>
      <w:r w:rsidR="00FA76FD">
        <w:rPr>
          <w:rFonts w:cs="Arial"/>
        </w:rPr>
        <w:t>T</w:t>
      </w:r>
      <w:r>
        <w:rPr>
          <w:rFonts w:cs="Arial"/>
        </w:rPr>
        <w:t xml:space="preserve">reasury </w:t>
      </w:r>
      <w:r w:rsidR="00FA76FD">
        <w:rPr>
          <w:rFonts w:cs="Arial"/>
        </w:rPr>
        <w:t>M</w:t>
      </w:r>
      <w:r>
        <w:rPr>
          <w:rFonts w:cs="Arial"/>
        </w:rPr>
        <w:t xml:space="preserve">anagement </w:t>
      </w:r>
      <w:r w:rsidR="00FA76FD">
        <w:rPr>
          <w:rFonts w:cs="Arial"/>
        </w:rPr>
        <w:t>P</w:t>
      </w:r>
      <w:r>
        <w:rPr>
          <w:rFonts w:cs="Arial"/>
        </w:rPr>
        <w:t>ractices (TMPs).</w:t>
      </w:r>
    </w:p>
    <w:p w:rsidR="00FB36D5" w:rsidRPr="00FB36D5" w:rsidRDefault="00FB36D5" w:rsidP="00FB36D5">
      <w:pPr>
        <w:pStyle w:val="ListParagraph"/>
        <w:rPr>
          <w:rFonts w:cs="Arial"/>
        </w:rPr>
      </w:pPr>
    </w:p>
    <w:p w:rsidR="00847060" w:rsidRDefault="00FB36D5" w:rsidP="00074875">
      <w:pPr>
        <w:pStyle w:val="ListParagraph"/>
        <w:numPr>
          <w:ilvl w:val="0"/>
          <w:numId w:val="3"/>
        </w:numPr>
        <w:rPr>
          <w:rFonts w:cs="Arial"/>
        </w:rPr>
      </w:pPr>
      <w:r w:rsidRPr="00581C98">
        <w:rPr>
          <w:rFonts w:cs="Arial"/>
        </w:rPr>
        <w:t>The Council utilises the creditworthiness s</w:t>
      </w:r>
      <w:r w:rsidR="00BB6C40" w:rsidRPr="00D66A8E">
        <w:rPr>
          <w:rFonts w:cs="Arial"/>
        </w:rPr>
        <w:t>ervices provided by Capita</w:t>
      </w:r>
      <w:r w:rsidRPr="00D66A8E">
        <w:rPr>
          <w:rFonts w:cs="Arial"/>
        </w:rPr>
        <w:t xml:space="preserve"> Asset Services</w:t>
      </w:r>
      <w:r w:rsidR="0096528B" w:rsidRPr="00581C98">
        <w:rPr>
          <w:rFonts w:cs="Arial"/>
        </w:rPr>
        <w:t xml:space="preserve"> – Treasury Solutions</w:t>
      </w:r>
      <w:r w:rsidRPr="00581C98">
        <w:rPr>
          <w:rFonts w:cs="Arial"/>
        </w:rPr>
        <w:t>.  The model combines the credit ratings, credit watches and credit outlooks provided by the credit rating agencies - Fitch, Moody’s and Standard and Poor</w:t>
      </w:r>
      <w:r w:rsidR="00D33568" w:rsidRPr="00581C98">
        <w:rPr>
          <w:rFonts w:cs="Arial"/>
        </w:rPr>
        <w:t>’</w:t>
      </w:r>
      <w:r w:rsidRPr="00581C98">
        <w:rPr>
          <w:rFonts w:cs="Arial"/>
        </w:rPr>
        <w:t>s in a weighted scoring system which is then combined with an overlay of Credit Default Swap</w:t>
      </w:r>
      <w:r>
        <w:rPr>
          <w:rStyle w:val="FootnoteReference"/>
          <w:rFonts w:cs="Arial"/>
        </w:rPr>
        <w:footnoteReference w:id="3"/>
      </w:r>
      <w:r w:rsidR="00847060" w:rsidRPr="00581C98">
        <w:rPr>
          <w:rFonts w:cs="Arial"/>
        </w:rPr>
        <w:t xml:space="preserve"> (CDS) spr</w:t>
      </w:r>
      <w:r w:rsidR="00847060" w:rsidRPr="00D66A8E">
        <w:rPr>
          <w:rFonts w:cs="Arial"/>
        </w:rPr>
        <w:t>eads</w:t>
      </w:r>
      <w:r w:rsidR="00D33568" w:rsidRPr="00D66A8E">
        <w:rPr>
          <w:rFonts w:cs="Arial"/>
        </w:rPr>
        <w:t xml:space="preserve"> and sovereign ratings </w:t>
      </w:r>
      <w:r w:rsidR="00847060" w:rsidRPr="00D66A8E">
        <w:rPr>
          <w:rFonts w:cs="Arial"/>
        </w:rPr>
        <w:t xml:space="preserve">for which the end product is a series of colour coded bands which indicate the relative creditworthiness of counterparties.  These colour codes are used by the </w:t>
      </w:r>
      <w:r w:rsidR="00581C98" w:rsidRPr="00581C98">
        <w:rPr>
          <w:rFonts w:cs="Arial"/>
        </w:rPr>
        <w:t>C</w:t>
      </w:r>
      <w:r w:rsidR="00847060" w:rsidRPr="00581C98">
        <w:rPr>
          <w:rFonts w:cs="Arial"/>
        </w:rPr>
        <w:t xml:space="preserve">ouncil to determine the duration of investments.  </w:t>
      </w:r>
    </w:p>
    <w:p w:rsidR="00074875" w:rsidRPr="00074875" w:rsidRDefault="00074875" w:rsidP="00074875">
      <w:pPr>
        <w:rPr>
          <w:rFonts w:cs="Arial"/>
        </w:rPr>
      </w:pPr>
    </w:p>
    <w:p w:rsidR="00847060" w:rsidRDefault="009169E7" w:rsidP="005A67A4">
      <w:pPr>
        <w:pStyle w:val="ListParagraph"/>
        <w:numPr>
          <w:ilvl w:val="0"/>
          <w:numId w:val="3"/>
        </w:numPr>
        <w:rPr>
          <w:rFonts w:cs="Arial"/>
        </w:rPr>
      </w:pPr>
      <w:r>
        <w:rPr>
          <w:rFonts w:cs="Arial"/>
        </w:rPr>
        <w:t>The Council is alerted to changes to rating</w:t>
      </w:r>
      <w:r w:rsidR="00D66A8E">
        <w:rPr>
          <w:rFonts w:cs="Arial"/>
        </w:rPr>
        <w:t>s</w:t>
      </w:r>
      <w:r>
        <w:rPr>
          <w:rFonts w:cs="Arial"/>
        </w:rPr>
        <w:t xml:space="preserve"> </w:t>
      </w:r>
      <w:r w:rsidR="00D66A8E">
        <w:rPr>
          <w:rFonts w:cs="Arial"/>
        </w:rPr>
        <w:t xml:space="preserve"> by</w:t>
      </w:r>
      <w:r w:rsidR="0096528B">
        <w:rPr>
          <w:rFonts w:cs="Arial"/>
        </w:rPr>
        <w:t xml:space="preserve"> Capita Asset Services -</w:t>
      </w:r>
      <w:r w:rsidR="000D29CD">
        <w:rPr>
          <w:rFonts w:cs="Arial"/>
        </w:rPr>
        <w:t xml:space="preserve">Treasury solutions </w:t>
      </w:r>
      <w:r>
        <w:rPr>
          <w:rFonts w:cs="Arial"/>
        </w:rPr>
        <w:t>creditworthiness service and takes the following action in respect of this update:</w:t>
      </w:r>
    </w:p>
    <w:p w:rsidR="009169E7" w:rsidRPr="009169E7" w:rsidRDefault="009169E7" w:rsidP="009169E7">
      <w:pPr>
        <w:pStyle w:val="ListParagraph"/>
        <w:rPr>
          <w:rFonts w:cs="Arial"/>
        </w:rPr>
      </w:pPr>
    </w:p>
    <w:p w:rsidR="009169E7" w:rsidRDefault="009169E7" w:rsidP="009169E7">
      <w:pPr>
        <w:pStyle w:val="ListParagraph"/>
        <w:numPr>
          <w:ilvl w:val="0"/>
          <w:numId w:val="7"/>
        </w:numPr>
        <w:rPr>
          <w:rFonts w:cs="Arial"/>
        </w:rPr>
      </w:pPr>
      <w:r>
        <w:rPr>
          <w:rFonts w:cs="Arial"/>
        </w:rPr>
        <w:t xml:space="preserve">If a downgrade results in the counterparty/investment scheme no longer meeting the </w:t>
      </w:r>
      <w:r w:rsidR="00D66A8E">
        <w:rPr>
          <w:rFonts w:cs="Arial"/>
        </w:rPr>
        <w:t>C</w:t>
      </w:r>
      <w:r>
        <w:rPr>
          <w:rFonts w:cs="Arial"/>
        </w:rPr>
        <w:t>ouncil’s minimum criteria, it</w:t>
      </w:r>
      <w:r w:rsidR="0029280C">
        <w:rPr>
          <w:rFonts w:cs="Arial"/>
        </w:rPr>
        <w:t xml:space="preserve"> i</w:t>
      </w:r>
      <w:r>
        <w:rPr>
          <w:rFonts w:cs="Arial"/>
        </w:rPr>
        <w:t>s withdrawn immediately</w:t>
      </w:r>
      <w:r w:rsidR="0029280C">
        <w:rPr>
          <w:rFonts w:cs="Arial"/>
        </w:rPr>
        <w:t xml:space="preserve"> from further use</w:t>
      </w:r>
    </w:p>
    <w:p w:rsidR="009169E7" w:rsidRDefault="009169E7" w:rsidP="009169E7">
      <w:pPr>
        <w:pStyle w:val="ListParagraph"/>
        <w:numPr>
          <w:ilvl w:val="0"/>
          <w:numId w:val="7"/>
        </w:numPr>
        <w:rPr>
          <w:rFonts w:cs="Arial"/>
        </w:rPr>
      </w:pPr>
      <w:r>
        <w:rPr>
          <w:rFonts w:cs="Arial"/>
        </w:rPr>
        <w:t>If a counterparty’s credit rating is place</w:t>
      </w:r>
      <w:r w:rsidR="00776757">
        <w:rPr>
          <w:rFonts w:cs="Arial"/>
        </w:rPr>
        <w:t>d</w:t>
      </w:r>
      <w:r>
        <w:rPr>
          <w:rFonts w:cs="Arial"/>
        </w:rPr>
        <w:t xml:space="preserve"> on negative watch or negative outlook, officers carry out a review to determine whether the institution is still worthy of inclusion on the counterparty list.  If there is any doubt, the counterparty is temporarily suspended pending the credit rating agency’s full review.</w:t>
      </w:r>
    </w:p>
    <w:p w:rsidR="009169E7" w:rsidRPr="009169E7" w:rsidRDefault="009169E7" w:rsidP="009169E7">
      <w:pPr>
        <w:pStyle w:val="ListParagraph"/>
        <w:rPr>
          <w:rFonts w:cs="Arial"/>
        </w:rPr>
      </w:pPr>
    </w:p>
    <w:p w:rsidR="009169E7" w:rsidRDefault="00A71E26" w:rsidP="005A67A4">
      <w:pPr>
        <w:pStyle w:val="ListParagraph"/>
        <w:numPr>
          <w:ilvl w:val="0"/>
          <w:numId w:val="3"/>
        </w:numPr>
        <w:rPr>
          <w:rFonts w:cs="Arial"/>
        </w:rPr>
      </w:pPr>
      <w:r>
        <w:rPr>
          <w:rFonts w:cs="Arial"/>
        </w:rPr>
        <w:t>As part of the creditworthiness methodology a minimum sovereign rating of AA- from Fitch (or equivalent from other agencies if Fitch does not provide)</w:t>
      </w:r>
      <w:r w:rsidR="009169E7">
        <w:rPr>
          <w:rFonts w:cs="Arial"/>
        </w:rPr>
        <w:t xml:space="preserve"> has</w:t>
      </w:r>
      <w:r>
        <w:rPr>
          <w:rFonts w:cs="Arial"/>
        </w:rPr>
        <w:t xml:space="preserve"> been</w:t>
      </w:r>
      <w:r w:rsidR="009169E7">
        <w:rPr>
          <w:rFonts w:cs="Arial"/>
        </w:rPr>
        <w:t xml:space="preserve"> determined</w:t>
      </w:r>
      <w:r>
        <w:rPr>
          <w:rFonts w:cs="Arial"/>
        </w:rPr>
        <w:t>.</w:t>
      </w:r>
      <w:r w:rsidR="009169E7">
        <w:rPr>
          <w:rFonts w:cs="Arial"/>
        </w:rPr>
        <w:t xml:space="preserve"> </w:t>
      </w:r>
    </w:p>
    <w:p w:rsidR="009169E7" w:rsidRPr="009169E7" w:rsidRDefault="009169E7" w:rsidP="009169E7">
      <w:pPr>
        <w:pStyle w:val="ListParagraph"/>
        <w:rPr>
          <w:rFonts w:cs="Arial"/>
        </w:rPr>
      </w:pPr>
    </w:p>
    <w:p w:rsidR="009169E7" w:rsidRDefault="009169E7" w:rsidP="005A67A4">
      <w:pPr>
        <w:pStyle w:val="ListParagraph"/>
        <w:numPr>
          <w:ilvl w:val="0"/>
          <w:numId w:val="3"/>
        </w:numPr>
        <w:rPr>
          <w:rFonts w:cs="Arial"/>
        </w:rPr>
      </w:pPr>
      <w:r>
        <w:rPr>
          <w:rFonts w:cs="Arial"/>
        </w:rPr>
        <w:t xml:space="preserve">For </w:t>
      </w:r>
      <w:r w:rsidR="00F83E07">
        <w:rPr>
          <w:rFonts w:cs="Arial"/>
        </w:rPr>
        <w:t xml:space="preserve">operational purposes, the </w:t>
      </w:r>
      <w:r w:rsidR="00415507">
        <w:rPr>
          <w:rFonts w:cs="Arial"/>
        </w:rPr>
        <w:t>C</w:t>
      </w:r>
      <w:r w:rsidR="00F83E07">
        <w:rPr>
          <w:rFonts w:cs="Arial"/>
        </w:rPr>
        <w:t>ouncil’s counterparty list is reviewed on a daily basis taking into account market information and changes to criteria provided.  Th</w:t>
      </w:r>
      <w:r w:rsidR="00415507">
        <w:rPr>
          <w:rFonts w:cs="Arial"/>
        </w:rPr>
        <w:t>e</w:t>
      </w:r>
      <w:r w:rsidR="00F83E07">
        <w:rPr>
          <w:rFonts w:cs="Arial"/>
        </w:rPr>
        <w:t xml:space="preserve"> list is maintained by the Treasury </w:t>
      </w:r>
      <w:r w:rsidR="00366043">
        <w:rPr>
          <w:rFonts w:cs="Arial"/>
        </w:rPr>
        <w:t>T</w:t>
      </w:r>
      <w:r w:rsidR="00F83E07">
        <w:rPr>
          <w:rFonts w:cs="Arial"/>
        </w:rPr>
        <w:t>eam, and reported to the S151 Officer on a regular basis.</w:t>
      </w:r>
    </w:p>
    <w:p w:rsidR="00F83E07" w:rsidRPr="00F83E07" w:rsidRDefault="00F83E07" w:rsidP="00F83E07">
      <w:pPr>
        <w:pStyle w:val="ListParagraph"/>
        <w:rPr>
          <w:rFonts w:cs="Arial"/>
        </w:rPr>
      </w:pPr>
    </w:p>
    <w:p w:rsidR="00F83E07" w:rsidRDefault="00366043" w:rsidP="005A67A4">
      <w:pPr>
        <w:pStyle w:val="ListParagraph"/>
        <w:numPr>
          <w:ilvl w:val="0"/>
          <w:numId w:val="3"/>
        </w:numPr>
        <w:rPr>
          <w:rFonts w:cs="Arial"/>
        </w:rPr>
      </w:pPr>
      <w:r>
        <w:rPr>
          <w:rFonts w:cs="Arial"/>
        </w:rPr>
        <w:t>T</w:t>
      </w:r>
      <w:r w:rsidR="00F83E07">
        <w:rPr>
          <w:rFonts w:cs="Arial"/>
        </w:rPr>
        <w:t>he Investment</w:t>
      </w:r>
      <w:r w:rsidR="00A71E26">
        <w:rPr>
          <w:rFonts w:cs="Arial"/>
        </w:rPr>
        <w:t xml:space="preserve"> Strategy</w:t>
      </w:r>
      <w:r w:rsidR="00F83E07">
        <w:rPr>
          <w:rFonts w:cs="Arial"/>
        </w:rPr>
        <w:t xml:space="preserve"> </w:t>
      </w:r>
      <w:r>
        <w:rPr>
          <w:rFonts w:cs="Arial"/>
        </w:rPr>
        <w:t xml:space="preserve">provides </w:t>
      </w:r>
      <w:r w:rsidR="00F83E07">
        <w:rPr>
          <w:rFonts w:cs="Arial"/>
        </w:rPr>
        <w:t xml:space="preserve">delegated </w:t>
      </w:r>
      <w:r>
        <w:rPr>
          <w:rFonts w:cs="Arial"/>
        </w:rPr>
        <w:t>authority</w:t>
      </w:r>
      <w:r w:rsidR="00F83E07">
        <w:rPr>
          <w:rFonts w:cs="Arial"/>
        </w:rPr>
        <w:t xml:space="preserve"> </w:t>
      </w:r>
      <w:r>
        <w:rPr>
          <w:rFonts w:cs="Arial"/>
        </w:rPr>
        <w:t xml:space="preserve">for the S151 Officer </w:t>
      </w:r>
      <w:r w:rsidR="00A71E26">
        <w:rPr>
          <w:rFonts w:cs="Arial"/>
        </w:rPr>
        <w:t xml:space="preserve">to </w:t>
      </w:r>
      <w:r>
        <w:rPr>
          <w:rFonts w:cs="Arial"/>
        </w:rPr>
        <w:t xml:space="preserve">determine </w:t>
      </w:r>
      <w:r w:rsidR="00F83E07">
        <w:rPr>
          <w:rFonts w:cs="Arial"/>
        </w:rPr>
        <w:t>the most appropriate form of investment depend</w:t>
      </w:r>
      <w:r w:rsidR="00FD0D4F">
        <w:rPr>
          <w:rFonts w:cs="Arial"/>
        </w:rPr>
        <w:t>ant</w:t>
      </w:r>
      <w:r w:rsidR="00F83E07">
        <w:rPr>
          <w:rFonts w:cs="Arial"/>
        </w:rPr>
        <w:t xml:space="preserve"> on prevailing interest rates and </w:t>
      </w:r>
      <w:proofErr w:type="gramStart"/>
      <w:r w:rsidR="00F83E07">
        <w:rPr>
          <w:rFonts w:cs="Arial"/>
        </w:rPr>
        <w:t>counterparty</w:t>
      </w:r>
      <w:proofErr w:type="gramEnd"/>
      <w:r w:rsidR="00F83E07">
        <w:rPr>
          <w:rFonts w:cs="Arial"/>
        </w:rPr>
        <w:t xml:space="preserve"> </w:t>
      </w:r>
      <w:r w:rsidR="00FD0D4F">
        <w:rPr>
          <w:rFonts w:cs="Arial"/>
        </w:rPr>
        <w:t xml:space="preserve">risk </w:t>
      </w:r>
      <w:r w:rsidR="00F83E07">
        <w:rPr>
          <w:rFonts w:cs="Arial"/>
        </w:rPr>
        <w:t>at the time.</w:t>
      </w:r>
    </w:p>
    <w:p w:rsidR="00F83E07" w:rsidRPr="00F83E07" w:rsidRDefault="00F83E07" w:rsidP="00F83E07">
      <w:pPr>
        <w:pStyle w:val="ListParagraph"/>
        <w:rPr>
          <w:rFonts w:cs="Arial"/>
        </w:rPr>
      </w:pPr>
    </w:p>
    <w:p w:rsidR="00F83E07" w:rsidRDefault="00F83E07" w:rsidP="005A67A4">
      <w:pPr>
        <w:pStyle w:val="ListParagraph"/>
        <w:numPr>
          <w:ilvl w:val="0"/>
          <w:numId w:val="3"/>
        </w:numPr>
        <w:rPr>
          <w:rFonts w:cs="Arial"/>
        </w:rPr>
      </w:pPr>
      <w:r>
        <w:rPr>
          <w:rFonts w:cs="Arial"/>
        </w:rPr>
        <w:t xml:space="preserve">Limits on countries and sectors </w:t>
      </w:r>
      <w:r w:rsidR="00FD0D4F">
        <w:rPr>
          <w:rFonts w:cs="Arial"/>
        </w:rPr>
        <w:t xml:space="preserve">are </w:t>
      </w:r>
      <w:r>
        <w:rPr>
          <w:rFonts w:cs="Arial"/>
        </w:rPr>
        <w:t>as follows:</w:t>
      </w:r>
    </w:p>
    <w:p w:rsidR="00F83E07" w:rsidRPr="00F83E07" w:rsidRDefault="00F83E07" w:rsidP="00F83E07">
      <w:pPr>
        <w:pStyle w:val="ListParagraph"/>
        <w:rPr>
          <w:rFonts w:cs="Arial"/>
        </w:rPr>
      </w:pPr>
    </w:p>
    <w:p w:rsidR="00F83E07" w:rsidRDefault="00F83E07" w:rsidP="00F83E07">
      <w:pPr>
        <w:pStyle w:val="ListParagraph"/>
        <w:numPr>
          <w:ilvl w:val="0"/>
          <w:numId w:val="8"/>
        </w:numPr>
        <w:rPr>
          <w:rFonts w:cs="Arial"/>
        </w:rPr>
      </w:pPr>
      <w:r>
        <w:rPr>
          <w:rFonts w:cs="Arial"/>
        </w:rPr>
        <w:t>No more than 20% of the previous year’s average monthly investment balance with any one counterparty or group (</w:t>
      </w:r>
      <w:r w:rsidR="00C12CB4">
        <w:rPr>
          <w:rFonts w:cs="Arial"/>
        </w:rPr>
        <w:t>currently at £15.8m)</w:t>
      </w:r>
    </w:p>
    <w:p w:rsidR="00C12CB4" w:rsidRDefault="00C12CB4" w:rsidP="00F83E07">
      <w:pPr>
        <w:pStyle w:val="ListParagraph"/>
        <w:numPr>
          <w:ilvl w:val="0"/>
          <w:numId w:val="8"/>
        </w:numPr>
        <w:rPr>
          <w:rFonts w:cs="Arial"/>
        </w:rPr>
      </w:pPr>
      <w:r>
        <w:rPr>
          <w:rFonts w:cs="Arial"/>
        </w:rPr>
        <w:t xml:space="preserve">Maximum of 10% of total investments to be with institutions in other countries that meet the </w:t>
      </w:r>
      <w:r w:rsidR="00FD0D4F">
        <w:rPr>
          <w:rFonts w:cs="Arial"/>
        </w:rPr>
        <w:t xml:space="preserve">required </w:t>
      </w:r>
      <w:r>
        <w:rPr>
          <w:rFonts w:cs="Arial"/>
        </w:rPr>
        <w:t>criteria</w:t>
      </w:r>
    </w:p>
    <w:p w:rsidR="00C12CB4" w:rsidRDefault="00C12CB4" w:rsidP="00C12CB4">
      <w:pPr>
        <w:rPr>
          <w:rFonts w:cs="Arial"/>
        </w:rPr>
      </w:pPr>
    </w:p>
    <w:p w:rsidR="00C12CB4" w:rsidRDefault="00C12CB4" w:rsidP="00C12CB4">
      <w:pPr>
        <w:rPr>
          <w:rFonts w:cs="Arial"/>
          <w:b/>
        </w:rPr>
      </w:pPr>
      <w:r w:rsidRPr="00C12CB4">
        <w:rPr>
          <w:rFonts w:cs="Arial"/>
          <w:b/>
        </w:rPr>
        <w:t>Specified and Non-Specified investments</w:t>
      </w:r>
    </w:p>
    <w:p w:rsidR="00D33568" w:rsidRPr="00C12CB4" w:rsidRDefault="00D33568" w:rsidP="00C12CB4">
      <w:pPr>
        <w:rPr>
          <w:rFonts w:cs="Arial"/>
          <w:b/>
        </w:rPr>
      </w:pPr>
    </w:p>
    <w:p w:rsidR="00F83E07" w:rsidRDefault="00C12CB4" w:rsidP="005A67A4">
      <w:pPr>
        <w:pStyle w:val="ListParagraph"/>
        <w:numPr>
          <w:ilvl w:val="0"/>
          <w:numId w:val="3"/>
        </w:numPr>
        <w:rPr>
          <w:rFonts w:cs="Arial"/>
        </w:rPr>
      </w:pPr>
      <w:r>
        <w:rPr>
          <w:rFonts w:cs="Arial"/>
        </w:rPr>
        <w:t xml:space="preserve">In approving the </w:t>
      </w:r>
      <w:r w:rsidR="00E4348B">
        <w:rPr>
          <w:rFonts w:cs="Arial"/>
        </w:rPr>
        <w:t>I</w:t>
      </w:r>
      <w:r>
        <w:rPr>
          <w:rFonts w:cs="Arial"/>
        </w:rPr>
        <w:t xml:space="preserve">nvestment </w:t>
      </w:r>
      <w:r w:rsidR="00E4348B">
        <w:rPr>
          <w:rFonts w:cs="Arial"/>
        </w:rPr>
        <w:t>S</w:t>
      </w:r>
      <w:r>
        <w:rPr>
          <w:rFonts w:cs="Arial"/>
        </w:rPr>
        <w:t xml:space="preserve">trategy Members are approving the types of investments the </w:t>
      </w:r>
      <w:r w:rsidR="00E4348B">
        <w:rPr>
          <w:rFonts w:cs="Arial"/>
        </w:rPr>
        <w:t>C</w:t>
      </w:r>
      <w:r>
        <w:rPr>
          <w:rFonts w:cs="Arial"/>
        </w:rPr>
        <w:t>ouncil can undertake.  Investments are classified as either specified or non-specified and are show in more detail in Appendix 1.</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 xml:space="preserve">A specified investment is one that is </w:t>
      </w:r>
      <w:r w:rsidR="00E4348B">
        <w:rPr>
          <w:rFonts w:cs="Arial"/>
        </w:rPr>
        <w:t>in s</w:t>
      </w:r>
      <w:r>
        <w:rPr>
          <w:rFonts w:cs="Arial"/>
        </w:rPr>
        <w:t xml:space="preserve">terling, no more than one year in duration or, if in excess of one year </w:t>
      </w:r>
      <w:r w:rsidR="0065083A">
        <w:rPr>
          <w:rFonts w:cs="Arial"/>
        </w:rPr>
        <w:t xml:space="preserve">can be </w:t>
      </w:r>
      <w:r>
        <w:rPr>
          <w:rFonts w:cs="Arial"/>
        </w:rPr>
        <w:t>repa</w:t>
      </w:r>
      <w:r w:rsidR="0065083A">
        <w:rPr>
          <w:rFonts w:cs="Arial"/>
        </w:rPr>
        <w:t xml:space="preserve">id earlier on </w:t>
      </w:r>
      <w:r w:rsidR="0066554D">
        <w:rPr>
          <w:rFonts w:cs="Arial"/>
        </w:rPr>
        <w:t>request</w:t>
      </w:r>
      <w:r>
        <w:rPr>
          <w:rFonts w:cs="Arial"/>
        </w:rPr>
        <w:t xml:space="preserve"> </w:t>
      </w:r>
      <w:r w:rsidR="00B058D5">
        <w:rPr>
          <w:rFonts w:cs="Arial"/>
        </w:rPr>
        <w:t xml:space="preserve">and </w:t>
      </w:r>
      <w:r>
        <w:rPr>
          <w:rFonts w:cs="Arial"/>
        </w:rPr>
        <w:t>with counterparties that meet the council’s credit rating criteria.  Non-specified investments are any other type of investment including property funds.  Whilst generally these investments will earn a higher rate of return they are inherently more risky in nature and a maximum level of 25% of the previous year’s average monthly investment balance is placed on such investments.</w:t>
      </w:r>
    </w:p>
    <w:p w:rsidR="00C12CB4" w:rsidRPr="00C12CB4" w:rsidRDefault="00C12CB4" w:rsidP="00C12CB4">
      <w:pPr>
        <w:pStyle w:val="ListParagraph"/>
        <w:rPr>
          <w:rFonts w:cs="Arial"/>
        </w:rPr>
      </w:pPr>
    </w:p>
    <w:p w:rsidR="00C12CB4" w:rsidRDefault="00C12CB4" w:rsidP="005A67A4">
      <w:pPr>
        <w:pStyle w:val="ListParagraph"/>
        <w:numPr>
          <w:ilvl w:val="0"/>
          <w:numId w:val="3"/>
        </w:numPr>
        <w:rPr>
          <w:rFonts w:cs="Arial"/>
        </w:rPr>
      </w:pPr>
      <w:r>
        <w:rPr>
          <w:rFonts w:cs="Arial"/>
        </w:rPr>
        <w:t>The Council place</w:t>
      </w:r>
      <w:r w:rsidR="0066554D">
        <w:rPr>
          <w:rFonts w:cs="Arial"/>
        </w:rPr>
        <w:t>d</w:t>
      </w:r>
      <w:r>
        <w:rPr>
          <w:rFonts w:cs="Arial"/>
        </w:rPr>
        <w:t xml:space="preserve"> deposits with two Icelandic banks prior to their collapse in </w:t>
      </w:r>
      <w:r w:rsidR="00A71E26">
        <w:rPr>
          <w:rFonts w:cs="Arial"/>
        </w:rPr>
        <w:t>2009;</w:t>
      </w:r>
      <w:r>
        <w:rPr>
          <w:rFonts w:cs="Arial"/>
        </w:rPr>
        <w:t xml:space="preserve"> original balances were £3m with Heritable and £1.5m with </w:t>
      </w:r>
      <w:proofErr w:type="spellStart"/>
      <w:r>
        <w:rPr>
          <w:rFonts w:cs="Arial"/>
        </w:rPr>
        <w:t>Glitnir</w:t>
      </w:r>
      <w:proofErr w:type="spellEnd"/>
      <w:r>
        <w:rPr>
          <w:rFonts w:cs="Arial"/>
        </w:rPr>
        <w:t xml:space="preserve">.  Heritable has repaid 94% of the initial deposit plus </w:t>
      </w:r>
      <w:proofErr w:type="gramStart"/>
      <w:r>
        <w:rPr>
          <w:rFonts w:cs="Arial"/>
        </w:rPr>
        <w:t>interest,</w:t>
      </w:r>
      <w:proofErr w:type="gramEnd"/>
      <w:r>
        <w:rPr>
          <w:rFonts w:cs="Arial"/>
        </w:rPr>
        <w:t xml:space="preserve"> no further repayments have been received during 2014/15.  The </w:t>
      </w:r>
      <w:r w:rsidR="00657D0C">
        <w:rPr>
          <w:rFonts w:cs="Arial"/>
        </w:rPr>
        <w:t>C</w:t>
      </w:r>
      <w:r>
        <w:rPr>
          <w:rFonts w:cs="Arial"/>
        </w:rPr>
        <w:t xml:space="preserve">ouncil has received over 80% of the original deposit with </w:t>
      </w:r>
      <w:proofErr w:type="spellStart"/>
      <w:r>
        <w:rPr>
          <w:rFonts w:cs="Arial"/>
        </w:rPr>
        <w:t>Glitnir</w:t>
      </w:r>
      <w:proofErr w:type="spellEnd"/>
      <w:r>
        <w:rPr>
          <w:rFonts w:cs="Arial"/>
        </w:rPr>
        <w:t xml:space="preserve">.  The remaining balance is currently held in Iceland, under Icelandic law, and the </w:t>
      </w:r>
      <w:r w:rsidR="00657D0C">
        <w:rPr>
          <w:rFonts w:cs="Arial"/>
        </w:rPr>
        <w:t>C</w:t>
      </w:r>
      <w:r>
        <w:rPr>
          <w:rFonts w:cs="Arial"/>
        </w:rPr>
        <w:t>ouncil is seeking advice from Bevan Brittan, our solicitors acting on behalf of all local authorities</w:t>
      </w:r>
      <w:r w:rsidR="0066554D">
        <w:rPr>
          <w:rFonts w:cs="Arial"/>
        </w:rPr>
        <w:t>,</w:t>
      </w:r>
      <w:r>
        <w:rPr>
          <w:rFonts w:cs="Arial"/>
        </w:rPr>
        <w:t xml:space="preserve"> regarding its options on this matter.</w:t>
      </w:r>
    </w:p>
    <w:p w:rsidR="008E24E7" w:rsidRDefault="008E24E7" w:rsidP="008E24E7">
      <w:pPr>
        <w:ind w:left="360"/>
        <w:rPr>
          <w:rFonts w:cs="Arial"/>
        </w:rPr>
      </w:pPr>
    </w:p>
    <w:p w:rsidR="008E24E7" w:rsidRPr="008E24E7" w:rsidRDefault="008E24E7" w:rsidP="008E24E7">
      <w:pPr>
        <w:ind w:left="360"/>
        <w:rPr>
          <w:rFonts w:cs="Arial"/>
          <w:b/>
        </w:rPr>
      </w:pPr>
      <w:r w:rsidRPr="008E24E7">
        <w:rPr>
          <w:rFonts w:cs="Arial"/>
          <w:b/>
        </w:rPr>
        <w:t>Ethical Investment Policy</w:t>
      </w:r>
    </w:p>
    <w:p w:rsidR="008E24E7" w:rsidRPr="008E24E7" w:rsidRDefault="008E24E7" w:rsidP="008E24E7">
      <w:pPr>
        <w:ind w:left="360"/>
        <w:rPr>
          <w:rFonts w:cs="Arial"/>
        </w:rPr>
      </w:pPr>
    </w:p>
    <w:p w:rsidR="009E42D9" w:rsidRDefault="00BB6C40" w:rsidP="005A67A4">
      <w:pPr>
        <w:pStyle w:val="ListParagraph"/>
        <w:numPr>
          <w:ilvl w:val="0"/>
          <w:numId w:val="3"/>
        </w:numPr>
        <w:rPr>
          <w:rFonts w:cs="Arial"/>
        </w:rPr>
      </w:pPr>
      <w:r>
        <w:rPr>
          <w:rFonts w:cs="Arial"/>
        </w:rPr>
        <w:t>At its meeting on 14</w:t>
      </w:r>
      <w:r w:rsidRPr="00177C9D">
        <w:rPr>
          <w:rFonts w:cs="Arial"/>
          <w:vertAlign w:val="superscript"/>
        </w:rPr>
        <w:t>th</w:t>
      </w:r>
      <w:r>
        <w:rPr>
          <w:rFonts w:cs="Arial"/>
        </w:rPr>
        <w:t xml:space="preserve"> July, Council </w:t>
      </w:r>
      <w:r w:rsidR="00497146">
        <w:rPr>
          <w:rFonts w:cs="Arial"/>
        </w:rPr>
        <w:t xml:space="preserve">proposed to adopt </w:t>
      </w:r>
      <w:r>
        <w:rPr>
          <w:rFonts w:cs="Arial"/>
        </w:rPr>
        <w:t xml:space="preserve">an ethical investment policy, which is </w:t>
      </w:r>
      <w:r w:rsidR="00042F98">
        <w:rPr>
          <w:rFonts w:cs="Arial"/>
        </w:rPr>
        <w:t xml:space="preserve">set out </w:t>
      </w:r>
      <w:r>
        <w:rPr>
          <w:rFonts w:cs="Arial"/>
        </w:rPr>
        <w:t>below</w:t>
      </w:r>
      <w:r w:rsidR="00497146">
        <w:rPr>
          <w:rFonts w:cs="Arial"/>
        </w:rPr>
        <w:t>.  This Strategy formally endorses and adopts it for the first time.</w:t>
      </w:r>
    </w:p>
    <w:p w:rsidR="008E24E7" w:rsidRPr="008E24E7" w:rsidRDefault="008E24E7" w:rsidP="008E24E7">
      <w:pPr>
        <w:pStyle w:val="ListParagraph"/>
        <w:rPr>
          <w:rFonts w:cs="Arial"/>
        </w:rPr>
      </w:pPr>
    </w:p>
    <w:p w:rsidR="008E24E7" w:rsidRDefault="008E24E7" w:rsidP="005A67A4">
      <w:pPr>
        <w:pStyle w:val="ListParagraph"/>
        <w:numPr>
          <w:ilvl w:val="0"/>
          <w:numId w:val="3"/>
        </w:numPr>
        <w:rPr>
          <w:rFonts w:cs="Arial"/>
        </w:rPr>
      </w:pPr>
      <w:r>
        <w:rPr>
          <w:rFonts w:cs="Arial"/>
        </w:rPr>
        <w:t>The Council will not knowingly invest directly in businesses whose activities and practices pose a risk of serious harm to individuals or groups, or whose activities are inconsistent with the Council’s mission and values.  This would include, inter alia, avoiding direct investment in institutions with material links to:</w:t>
      </w:r>
    </w:p>
    <w:p w:rsidR="008E24E7" w:rsidRPr="008E24E7" w:rsidRDefault="008E24E7" w:rsidP="008E24E7">
      <w:pPr>
        <w:pStyle w:val="ListParagraph"/>
        <w:rPr>
          <w:rFonts w:cs="Arial"/>
        </w:rPr>
      </w:pPr>
    </w:p>
    <w:p w:rsidR="008E24E7" w:rsidRDefault="008E24E7" w:rsidP="008E24E7">
      <w:pPr>
        <w:pStyle w:val="ListParagraph"/>
        <w:numPr>
          <w:ilvl w:val="1"/>
          <w:numId w:val="3"/>
        </w:numPr>
        <w:rPr>
          <w:rFonts w:cs="Arial"/>
        </w:rPr>
      </w:pPr>
      <w:r>
        <w:rPr>
          <w:rFonts w:cs="Arial"/>
        </w:rPr>
        <w:t>Human rights abuse (</w:t>
      </w:r>
      <w:proofErr w:type="spellStart"/>
      <w:r>
        <w:rPr>
          <w:rFonts w:cs="Arial"/>
        </w:rPr>
        <w:t>eg</w:t>
      </w:r>
      <w:proofErr w:type="spellEnd"/>
      <w:r>
        <w:rPr>
          <w:rFonts w:cs="Arial"/>
        </w:rPr>
        <w:t xml:space="preserve"> child labour, political oppression)</w:t>
      </w:r>
    </w:p>
    <w:p w:rsidR="008E24E7" w:rsidRDefault="008E24E7" w:rsidP="008E24E7">
      <w:pPr>
        <w:pStyle w:val="ListParagraph"/>
        <w:numPr>
          <w:ilvl w:val="1"/>
          <w:numId w:val="3"/>
        </w:numPr>
        <w:rPr>
          <w:rFonts w:cs="Arial"/>
        </w:rPr>
      </w:pPr>
      <w:r>
        <w:rPr>
          <w:rFonts w:cs="Arial"/>
        </w:rPr>
        <w:t>Environmentally harmful activities (</w:t>
      </w:r>
      <w:proofErr w:type="spellStart"/>
      <w:r>
        <w:rPr>
          <w:rFonts w:cs="Arial"/>
        </w:rPr>
        <w:t>eg</w:t>
      </w:r>
      <w:proofErr w:type="spellEnd"/>
      <w:r>
        <w:rPr>
          <w:rFonts w:cs="Arial"/>
        </w:rPr>
        <w:t xml:space="preserve"> pollutions, destruction of habitat, fossil fuels)</w:t>
      </w:r>
    </w:p>
    <w:p w:rsidR="00D23A89" w:rsidRDefault="008E24E7" w:rsidP="00D23A89">
      <w:pPr>
        <w:pStyle w:val="ListParagraph"/>
        <w:numPr>
          <w:ilvl w:val="1"/>
          <w:numId w:val="3"/>
        </w:numPr>
        <w:rPr>
          <w:rFonts w:cs="Arial"/>
        </w:rPr>
      </w:pPr>
      <w:r>
        <w:rPr>
          <w:rFonts w:cs="Arial"/>
        </w:rPr>
        <w:t>Social</w:t>
      </w:r>
      <w:r w:rsidR="00042F98">
        <w:rPr>
          <w:rFonts w:cs="Arial"/>
        </w:rPr>
        <w:t>ly</w:t>
      </w:r>
      <w:r>
        <w:rPr>
          <w:rFonts w:cs="Arial"/>
        </w:rPr>
        <w:t xml:space="preserve"> harmful activities (</w:t>
      </w:r>
      <w:proofErr w:type="spellStart"/>
      <w:r>
        <w:rPr>
          <w:rFonts w:cs="Arial"/>
        </w:rPr>
        <w:t>eg</w:t>
      </w:r>
      <w:proofErr w:type="spellEnd"/>
      <w:r>
        <w:rPr>
          <w:rFonts w:cs="Arial"/>
        </w:rPr>
        <w:t xml:space="preserve"> tobacco, gambling)</w:t>
      </w:r>
    </w:p>
    <w:p w:rsidR="00D23A89" w:rsidRDefault="00D23A89" w:rsidP="00177C9D">
      <w:pPr>
        <w:rPr>
          <w:rFonts w:cs="Arial"/>
        </w:rPr>
      </w:pPr>
    </w:p>
    <w:p w:rsidR="00D23A89" w:rsidRPr="00177C9D" w:rsidRDefault="00D23A89" w:rsidP="00177C9D">
      <w:pPr>
        <w:rPr>
          <w:rFonts w:cs="Arial"/>
          <w:b/>
        </w:rPr>
      </w:pPr>
      <w:r>
        <w:rPr>
          <w:rFonts w:cs="Arial"/>
          <w:b/>
        </w:rPr>
        <w:t>Banking Services</w:t>
      </w:r>
    </w:p>
    <w:p w:rsidR="00D23A89" w:rsidRDefault="00D23A89" w:rsidP="00177C9D">
      <w:pPr>
        <w:rPr>
          <w:rFonts w:cs="Arial"/>
        </w:rPr>
      </w:pPr>
    </w:p>
    <w:p w:rsidR="00D23A89" w:rsidRDefault="00D23A89" w:rsidP="00D23A89">
      <w:pPr>
        <w:pStyle w:val="ListParagraph"/>
        <w:numPr>
          <w:ilvl w:val="0"/>
          <w:numId w:val="3"/>
        </w:numPr>
        <w:rPr>
          <w:rFonts w:cs="Arial"/>
        </w:rPr>
      </w:pPr>
      <w:r>
        <w:rPr>
          <w:rFonts w:cs="Arial"/>
        </w:rPr>
        <w:t xml:space="preserve">The </w:t>
      </w:r>
      <w:r w:rsidR="00042F98">
        <w:rPr>
          <w:rFonts w:cs="Arial"/>
        </w:rPr>
        <w:t>C</w:t>
      </w:r>
      <w:r>
        <w:rPr>
          <w:rFonts w:cs="Arial"/>
        </w:rPr>
        <w:t>ouncil’s banking services have recently been tendered</w:t>
      </w:r>
      <w:r w:rsidR="00613F97">
        <w:rPr>
          <w:rFonts w:cs="Arial"/>
        </w:rPr>
        <w:t xml:space="preserve"> following the withdrawal of the Co-operative Bank from the local authority market.</w:t>
      </w:r>
      <w:r>
        <w:rPr>
          <w:rFonts w:cs="Arial"/>
        </w:rPr>
        <w:t xml:space="preserve"> Barclays </w:t>
      </w:r>
      <w:r w:rsidR="00613F97">
        <w:rPr>
          <w:rFonts w:cs="Arial"/>
        </w:rPr>
        <w:t xml:space="preserve">won </w:t>
      </w:r>
      <w:r>
        <w:rPr>
          <w:rFonts w:cs="Arial"/>
        </w:rPr>
        <w:t xml:space="preserve">the </w:t>
      </w:r>
      <w:r w:rsidR="00613F97">
        <w:rPr>
          <w:rFonts w:cs="Arial"/>
        </w:rPr>
        <w:t>contract</w:t>
      </w:r>
      <w:r w:rsidR="00F85C5C">
        <w:rPr>
          <w:rFonts w:cs="Arial"/>
        </w:rPr>
        <w:t xml:space="preserve"> and</w:t>
      </w:r>
      <w:r>
        <w:rPr>
          <w:rFonts w:cs="Arial"/>
        </w:rPr>
        <w:t xml:space="preserve"> </w:t>
      </w:r>
      <w:r w:rsidR="00F85C5C">
        <w:rPr>
          <w:rFonts w:cs="Arial"/>
        </w:rPr>
        <w:t>are currently working with officers on an implementation plan</w:t>
      </w:r>
      <w:r>
        <w:rPr>
          <w:rFonts w:cs="Arial"/>
        </w:rPr>
        <w:t xml:space="preserve">.  </w:t>
      </w:r>
      <w:r w:rsidR="00F85C5C">
        <w:rPr>
          <w:rFonts w:cs="Arial"/>
        </w:rPr>
        <w:t>The new contract will commence on the 1</w:t>
      </w:r>
      <w:r w:rsidR="00F85C5C" w:rsidRPr="00A71E26">
        <w:rPr>
          <w:rFonts w:cs="Arial"/>
          <w:vertAlign w:val="superscript"/>
        </w:rPr>
        <w:t>st</w:t>
      </w:r>
      <w:r w:rsidR="00F85C5C">
        <w:rPr>
          <w:rFonts w:cs="Arial"/>
        </w:rPr>
        <w:t xml:space="preserve"> April </w:t>
      </w:r>
      <w:r>
        <w:rPr>
          <w:rFonts w:cs="Arial"/>
        </w:rPr>
        <w:t>2015.</w:t>
      </w:r>
    </w:p>
    <w:p w:rsidR="004207BD" w:rsidRPr="004207BD" w:rsidRDefault="004207BD" w:rsidP="004207BD">
      <w:pPr>
        <w:pStyle w:val="ListParagraph"/>
        <w:rPr>
          <w:rFonts w:cs="Arial"/>
        </w:rPr>
      </w:pPr>
    </w:p>
    <w:p w:rsidR="004207BD" w:rsidRPr="004207BD" w:rsidRDefault="004207BD" w:rsidP="004207BD">
      <w:pPr>
        <w:rPr>
          <w:rFonts w:cs="Arial"/>
          <w:b/>
        </w:rPr>
      </w:pPr>
      <w:r w:rsidRPr="004207BD">
        <w:rPr>
          <w:rFonts w:cs="Arial"/>
          <w:b/>
        </w:rPr>
        <w:t>Prudential Indicators</w:t>
      </w:r>
    </w:p>
    <w:p w:rsidR="00C12CB4" w:rsidRPr="00C12CB4" w:rsidRDefault="00C12CB4" w:rsidP="00C12CB4">
      <w:pPr>
        <w:pStyle w:val="ListParagraph"/>
        <w:rPr>
          <w:rFonts w:cs="Arial"/>
        </w:rPr>
      </w:pPr>
    </w:p>
    <w:p w:rsidR="00C12CB4" w:rsidRDefault="004207BD" w:rsidP="005A67A4">
      <w:pPr>
        <w:pStyle w:val="ListParagraph"/>
        <w:numPr>
          <w:ilvl w:val="0"/>
          <w:numId w:val="3"/>
        </w:numPr>
        <w:rPr>
          <w:rFonts w:cs="Arial"/>
        </w:rPr>
      </w:pPr>
      <w:r>
        <w:rPr>
          <w:rFonts w:cs="Arial"/>
        </w:rPr>
        <w:t>The Council is required to set out a number of indicators, relating to the affordability and prudence of its treasury strategy.  These indicators are detailed in Appendix 2</w:t>
      </w:r>
      <w:r w:rsidR="0007763A">
        <w:rPr>
          <w:rFonts w:cs="Arial"/>
        </w:rPr>
        <w:t xml:space="preserve"> for the period 2015/16 – 2017/18</w:t>
      </w:r>
      <w:r>
        <w:rPr>
          <w:rFonts w:cs="Arial"/>
        </w:rPr>
        <w:t>, and should be monitored and reported on an annual basis.</w:t>
      </w:r>
    </w:p>
    <w:p w:rsidR="00A71E26" w:rsidRDefault="00A71E26" w:rsidP="00A71E26">
      <w:pPr>
        <w:pStyle w:val="ListParagraph"/>
        <w:rPr>
          <w:rFonts w:cs="Arial"/>
        </w:rPr>
      </w:pPr>
    </w:p>
    <w:p w:rsidR="00A71E26" w:rsidRDefault="00A71E26" w:rsidP="005A67A4">
      <w:pPr>
        <w:pStyle w:val="ListParagraph"/>
        <w:numPr>
          <w:ilvl w:val="0"/>
          <w:numId w:val="3"/>
        </w:numPr>
        <w:rPr>
          <w:rFonts w:cs="Arial"/>
        </w:rPr>
      </w:pPr>
      <w:r>
        <w:rPr>
          <w:rFonts w:cs="Arial"/>
        </w:rPr>
        <w:t>The Council is on track to meet all of the prudential indicators for 2014/15.</w:t>
      </w:r>
    </w:p>
    <w:p w:rsidR="004207BD" w:rsidRPr="004207BD" w:rsidRDefault="004207BD" w:rsidP="004207BD">
      <w:pPr>
        <w:pStyle w:val="ListParagraph"/>
        <w:rPr>
          <w:rFonts w:cs="Arial"/>
        </w:rPr>
      </w:pPr>
    </w:p>
    <w:p w:rsidR="00E46383" w:rsidRPr="00E46383" w:rsidRDefault="00E46383" w:rsidP="00E46383">
      <w:pPr>
        <w:rPr>
          <w:rFonts w:cs="Arial"/>
          <w:b/>
        </w:rPr>
      </w:pPr>
      <w:r w:rsidRPr="00E46383">
        <w:rPr>
          <w:rFonts w:cs="Arial"/>
          <w:b/>
        </w:rPr>
        <w:t>Legal implications</w:t>
      </w:r>
    </w:p>
    <w:p w:rsidR="00E46383" w:rsidRPr="00E46383" w:rsidRDefault="00E46383" w:rsidP="00E46383">
      <w:pPr>
        <w:rPr>
          <w:rFonts w:cs="Arial"/>
          <w:b/>
        </w:rPr>
      </w:pPr>
    </w:p>
    <w:p w:rsidR="00E46383" w:rsidRDefault="00E46383" w:rsidP="004207BD">
      <w:pPr>
        <w:pStyle w:val="ListParagraph"/>
        <w:numPr>
          <w:ilvl w:val="0"/>
          <w:numId w:val="3"/>
        </w:numPr>
        <w:rPr>
          <w:rFonts w:cs="Arial"/>
        </w:rPr>
      </w:pPr>
      <w:r>
        <w:rPr>
          <w:rFonts w:cs="Arial"/>
        </w:rPr>
        <w:t>This report fulfils four key requirements:</w:t>
      </w:r>
    </w:p>
    <w:p w:rsidR="00E46383" w:rsidRPr="00FD642B" w:rsidRDefault="00E46383" w:rsidP="00C75777">
      <w:pPr>
        <w:pStyle w:val="ListParagraph"/>
        <w:numPr>
          <w:ilvl w:val="0"/>
          <w:numId w:val="9"/>
        </w:numPr>
        <w:rPr>
          <w:rFonts w:cs="Arial"/>
        </w:rPr>
      </w:pPr>
      <w:r w:rsidRPr="00FD642B">
        <w:rPr>
          <w:rFonts w:cs="Arial"/>
        </w:rPr>
        <w:t>The reporting of the prudential indicators setting out the expected capital activities (as required by the CIPFA Prudential Code for Capital Finance in Local Authorities).  Agreeing the Council’s Minimum Revenue Provision (MRP) policy, which sets out how the Council will pay for capital assets through revenue each year (as required by guidance under the Local Government and Public Involvement in Health Act 2007).</w:t>
      </w:r>
    </w:p>
    <w:p w:rsidR="00E46383" w:rsidRDefault="00E46383" w:rsidP="00A71E26">
      <w:pPr>
        <w:pStyle w:val="ListParagraph"/>
        <w:numPr>
          <w:ilvl w:val="0"/>
          <w:numId w:val="9"/>
        </w:numPr>
        <w:rPr>
          <w:rFonts w:cs="Arial"/>
        </w:rPr>
      </w:pPr>
      <w:r w:rsidRPr="00C75777">
        <w:rPr>
          <w:rFonts w:cs="Arial"/>
        </w:rPr>
        <w:t xml:space="preserve">Agreeing the </w:t>
      </w:r>
      <w:r w:rsidR="00FD642B" w:rsidRPr="00C75777">
        <w:rPr>
          <w:rFonts w:cs="Arial"/>
        </w:rPr>
        <w:t>T</w:t>
      </w:r>
      <w:r w:rsidRPr="00C75777">
        <w:rPr>
          <w:rFonts w:cs="Arial"/>
        </w:rPr>
        <w:t xml:space="preserve">reasury </w:t>
      </w:r>
      <w:r w:rsidR="00FD642B" w:rsidRPr="00C75777">
        <w:rPr>
          <w:rFonts w:cs="Arial"/>
        </w:rPr>
        <w:t>M</w:t>
      </w:r>
      <w:r w:rsidRPr="00C75777">
        <w:rPr>
          <w:rFonts w:cs="Arial"/>
        </w:rPr>
        <w:t xml:space="preserve">anagement </w:t>
      </w:r>
      <w:r w:rsidR="00FD642B" w:rsidRPr="00C75777">
        <w:rPr>
          <w:rFonts w:cs="Arial"/>
        </w:rPr>
        <w:t>S</w:t>
      </w:r>
      <w:r w:rsidRPr="00C75777">
        <w:rPr>
          <w:rFonts w:cs="Arial"/>
        </w:rPr>
        <w:t xml:space="preserve">trategy, </w:t>
      </w:r>
      <w:proofErr w:type="gramStart"/>
      <w:r w:rsidRPr="00C75777">
        <w:rPr>
          <w:rFonts w:cs="Arial"/>
        </w:rPr>
        <w:t xml:space="preserve">which sets out how the </w:t>
      </w:r>
      <w:r w:rsidR="00C75777" w:rsidRPr="00C75777">
        <w:rPr>
          <w:rFonts w:cs="Arial"/>
        </w:rPr>
        <w:t>C</w:t>
      </w:r>
      <w:r w:rsidRPr="00C75777">
        <w:rPr>
          <w:rFonts w:cs="Arial"/>
        </w:rPr>
        <w:t>ouncil’s treasury services will support the capital decisions taken, the day to day treasury management and the limitations on activity through treasury prudential indicators.</w:t>
      </w:r>
      <w:proofErr w:type="gramEnd"/>
      <w:r w:rsidRPr="00C75777">
        <w:rPr>
          <w:rFonts w:cs="Arial"/>
        </w:rPr>
        <w:t xml:space="preserve">  The key indicator is the Authorised Limit, the maximum amount of debt the council could afford in the short term, but which would not be sustainable in the longer term.  This is the Affordable Borrowing limit required by S3 of the Local Government Act 2003.  Agreeing the </w:t>
      </w:r>
      <w:r w:rsidR="00C75777" w:rsidRPr="00C75777">
        <w:rPr>
          <w:rFonts w:cs="Arial"/>
        </w:rPr>
        <w:t>I</w:t>
      </w:r>
      <w:r w:rsidRPr="00C75777">
        <w:rPr>
          <w:rFonts w:cs="Arial"/>
        </w:rPr>
        <w:t xml:space="preserve">nvestment </w:t>
      </w:r>
      <w:r w:rsidR="00C75777" w:rsidRPr="00C75777">
        <w:rPr>
          <w:rFonts w:cs="Arial"/>
        </w:rPr>
        <w:t>S</w:t>
      </w:r>
      <w:r w:rsidRPr="00C75777">
        <w:rPr>
          <w:rFonts w:cs="Arial"/>
        </w:rPr>
        <w:t xml:space="preserve">trategy, </w:t>
      </w:r>
      <w:r w:rsidR="003D4A1A" w:rsidRPr="00C75777">
        <w:rPr>
          <w:rFonts w:cs="Arial"/>
        </w:rPr>
        <w:t xml:space="preserve">this sets out the </w:t>
      </w:r>
      <w:r w:rsidR="00C75777" w:rsidRPr="00C75777">
        <w:rPr>
          <w:rFonts w:cs="Arial"/>
        </w:rPr>
        <w:t>c</w:t>
      </w:r>
      <w:r w:rsidR="003D4A1A" w:rsidRPr="00C75777">
        <w:rPr>
          <w:rFonts w:cs="Arial"/>
        </w:rPr>
        <w:t xml:space="preserve">ouncil’s criteria for choosing investment counterparties and limiting exposure to the risk of loss.  </w:t>
      </w:r>
    </w:p>
    <w:p w:rsidR="00A71E26" w:rsidRPr="00C75777" w:rsidRDefault="00A71E26" w:rsidP="00A71E26">
      <w:pPr>
        <w:pStyle w:val="ListParagraph"/>
        <w:ind w:left="1440"/>
        <w:rPr>
          <w:rFonts w:cs="Arial"/>
        </w:rPr>
      </w:pPr>
    </w:p>
    <w:p w:rsidR="00E46383" w:rsidRDefault="00E46383" w:rsidP="004207BD">
      <w:pPr>
        <w:pStyle w:val="ListParagraph"/>
        <w:numPr>
          <w:ilvl w:val="0"/>
          <w:numId w:val="3"/>
        </w:numPr>
        <w:rPr>
          <w:rFonts w:cs="Arial"/>
        </w:rPr>
      </w:pPr>
      <w:r>
        <w:rPr>
          <w:rFonts w:cs="Arial"/>
        </w:rPr>
        <w:t>The Local Government Act 2003</w:t>
      </w:r>
      <w:r w:rsidR="003D4A1A">
        <w:rPr>
          <w:rFonts w:cs="Arial"/>
        </w:rPr>
        <w:t xml:space="preserve"> and supporting regulations require the </w:t>
      </w:r>
      <w:r w:rsidR="00C75777">
        <w:rPr>
          <w:rFonts w:cs="Arial"/>
        </w:rPr>
        <w:t>c</w:t>
      </w:r>
      <w:r w:rsidR="003D4A1A">
        <w:rPr>
          <w:rFonts w:cs="Arial"/>
        </w:rPr>
        <w:t xml:space="preserve">ouncil to have regard to the CIPFA Prudential Code and the CIPFA Treasury Management Code of Practice to set prudential and treasury indicators to ensure that the </w:t>
      </w:r>
      <w:r w:rsidR="00C75777">
        <w:rPr>
          <w:rFonts w:cs="Arial"/>
        </w:rPr>
        <w:t>C</w:t>
      </w:r>
      <w:r w:rsidR="003D4A1A">
        <w:rPr>
          <w:rFonts w:cs="Arial"/>
        </w:rPr>
        <w:t>ouncil</w:t>
      </w:r>
      <w:r w:rsidR="00C75777">
        <w:rPr>
          <w:rFonts w:cs="Arial"/>
        </w:rPr>
        <w:t>’</w:t>
      </w:r>
      <w:r w:rsidR="003D4A1A">
        <w:rPr>
          <w:rFonts w:cs="Arial"/>
        </w:rPr>
        <w:t>s capital investment plans are affordable, prudent and sustainable.</w:t>
      </w:r>
    </w:p>
    <w:p w:rsidR="00A71E26" w:rsidRDefault="00A71E26" w:rsidP="00A71E26">
      <w:pPr>
        <w:pStyle w:val="ListParagraph"/>
        <w:rPr>
          <w:rFonts w:cs="Arial"/>
        </w:rPr>
      </w:pPr>
    </w:p>
    <w:p w:rsidR="003D4A1A" w:rsidRDefault="003D4A1A" w:rsidP="004207BD">
      <w:pPr>
        <w:pStyle w:val="ListParagraph"/>
        <w:numPr>
          <w:ilvl w:val="0"/>
          <w:numId w:val="3"/>
        </w:numPr>
        <w:rPr>
          <w:rFonts w:cs="Arial"/>
        </w:rPr>
      </w:pPr>
      <w:r>
        <w:rPr>
          <w:rFonts w:cs="Arial"/>
        </w:rPr>
        <w:t>The Constitution require</w:t>
      </w:r>
      <w:r w:rsidR="00C75777">
        <w:rPr>
          <w:rFonts w:cs="Arial"/>
        </w:rPr>
        <w:t>s</w:t>
      </w:r>
      <w:r>
        <w:rPr>
          <w:rFonts w:cs="Arial"/>
        </w:rPr>
        <w:t xml:space="preserve"> the </w:t>
      </w:r>
      <w:r w:rsidR="00C75777">
        <w:rPr>
          <w:rFonts w:cs="Arial"/>
        </w:rPr>
        <w:t>S</w:t>
      </w:r>
      <w:r>
        <w:rPr>
          <w:rFonts w:cs="Arial"/>
        </w:rPr>
        <w:t>trategy to be reported to the City Executive Board and Full Council outlining the expected treasury activity for the forthcoming four years on an annual basis.</w:t>
      </w:r>
    </w:p>
    <w:p w:rsidR="003D4A1A" w:rsidRDefault="003D4A1A" w:rsidP="003D4A1A">
      <w:pPr>
        <w:pStyle w:val="ListParagraph"/>
        <w:rPr>
          <w:rFonts w:cs="Arial"/>
        </w:rPr>
      </w:pPr>
    </w:p>
    <w:p w:rsidR="003D4A1A" w:rsidRDefault="003D4A1A" w:rsidP="003D4A1A">
      <w:pPr>
        <w:rPr>
          <w:rFonts w:cs="Arial"/>
          <w:b/>
        </w:rPr>
      </w:pPr>
      <w:r w:rsidRPr="007B6E54">
        <w:rPr>
          <w:rFonts w:cs="Arial"/>
          <w:b/>
        </w:rPr>
        <w:t>Financial Issues</w:t>
      </w:r>
    </w:p>
    <w:p w:rsidR="003D4A1A" w:rsidRDefault="003D4A1A" w:rsidP="003D4A1A">
      <w:pPr>
        <w:pStyle w:val="ListParagraph"/>
        <w:rPr>
          <w:rFonts w:cs="Arial"/>
        </w:rPr>
      </w:pPr>
    </w:p>
    <w:p w:rsidR="003D4A1A" w:rsidRDefault="003D4A1A" w:rsidP="004207BD">
      <w:pPr>
        <w:pStyle w:val="ListParagraph"/>
        <w:numPr>
          <w:ilvl w:val="0"/>
          <w:numId w:val="3"/>
        </w:numPr>
        <w:rPr>
          <w:rFonts w:cs="Arial"/>
        </w:rPr>
      </w:pPr>
      <w:r>
        <w:rPr>
          <w:rFonts w:cs="Arial"/>
        </w:rPr>
        <w:t>All financial issues have been addressed in the body of the report.</w:t>
      </w:r>
    </w:p>
    <w:p w:rsidR="003D4A1A" w:rsidRDefault="003D4A1A" w:rsidP="003D4A1A">
      <w:pPr>
        <w:rPr>
          <w:rFonts w:cs="Arial"/>
        </w:rPr>
      </w:pPr>
    </w:p>
    <w:p w:rsidR="003D4A1A" w:rsidRDefault="003D4A1A" w:rsidP="003D4A1A">
      <w:pPr>
        <w:rPr>
          <w:rFonts w:cs="Arial"/>
          <w:b/>
        </w:rPr>
      </w:pPr>
      <w:r>
        <w:rPr>
          <w:rFonts w:cs="Arial"/>
          <w:b/>
        </w:rPr>
        <w:t>Environmental Impact</w:t>
      </w:r>
    </w:p>
    <w:p w:rsidR="003D4A1A" w:rsidRPr="003D4A1A" w:rsidRDefault="003D4A1A" w:rsidP="003D4A1A">
      <w:pPr>
        <w:rPr>
          <w:rFonts w:cs="Arial"/>
        </w:rPr>
      </w:pPr>
    </w:p>
    <w:p w:rsidR="003B4118" w:rsidRDefault="00177C9D" w:rsidP="003B4118">
      <w:pPr>
        <w:pStyle w:val="ListParagraph"/>
        <w:numPr>
          <w:ilvl w:val="0"/>
          <w:numId w:val="3"/>
        </w:numPr>
        <w:rPr>
          <w:rFonts w:cs="Arial"/>
        </w:rPr>
      </w:pPr>
      <w:r>
        <w:rPr>
          <w:rFonts w:cs="Arial"/>
        </w:rPr>
        <w:t xml:space="preserve">Following the </w:t>
      </w:r>
      <w:r w:rsidR="003B4118">
        <w:rPr>
          <w:rFonts w:cs="Arial"/>
        </w:rPr>
        <w:t>inclusion</w:t>
      </w:r>
      <w:r>
        <w:rPr>
          <w:rFonts w:cs="Arial"/>
        </w:rPr>
        <w:t xml:space="preserve"> of the </w:t>
      </w:r>
      <w:r w:rsidR="00BB0BA0">
        <w:rPr>
          <w:rFonts w:cs="Arial"/>
        </w:rPr>
        <w:t>E</w:t>
      </w:r>
      <w:r>
        <w:rPr>
          <w:rFonts w:cs="Arial"/>
        </w:rPr>
        <w:t xml:space="preserve">thical </w:t>
      </w:r>
      <w:r w:rsidR="00BB0BA0">
        <w:rPr>
          <w:rFonts w:cs="Arial"/>
        </w:rPr>
        <w:t>I</w:t>
      </w:r>
      <w:r>
        <w:rPr>
          <w:rFonts w:cs="Arial"/>
        </w:rPr>
        <w:t xml:space="preserve">nvestment </w:t>
      </w:r>
      <w:r w:rsidR="00BB0BA0">
        <w:rPr>
          <w:rFonts w:cs="Arial"/>
        </w:rPr>
        <w:t>P</w:t>
      </w:r>
      <w:r>
        <w:rPr>
          <w:rFonts w:cs="Arial"/>
        </w:rPr>
        <w:t>olicy, this ensure</w:t>
      </w:r>
      <w:r w:rsidR="003B4118">
        <w:rPr>
          <w:rFonts w:cs="Arial"/>
        </w:rPr>
        <w:t>s</w:t>
      </w:r>
      <w:r>
        <w:rPr>
          <w:rFonts w:cs="Arial"/>
        </w:rPr>
        <w:t xml:space="preserve"> that</w:t>
      </w:r>
      <w:r w:rsidR="003B4118">
        <w:rPr>
          <w:rFonts w:cs="Arial"/>
        </w:rPr>
        <w:t xml:space="preserve"> through our investments we will not knowingly, directly invest in businesses that undertake harmful environmental activities.</w:t>
      </w:r>
    </w:p>
    <w:p w:rsidR="003D4A1A" w:rsidRDefault="003B4118" w:rsidP="003B4118">
      <w:pPr>
        <w:pStyle w:val="ListParagraph"/>
        <w:rPr>
          <w:rFonts w:cs="Arial"/>
        </w:rPr>
      </w:pPr>
      <w:r>
        <w:rPr>
          <w:rFonts w:cs="Arial"/>
        </w:rPr>
        <w:t xml:space="preserve"> </w:t>
      </w:r>
    </w:p>
    <w:p w:rsidR="003D4A1A" w:rsidRDefault="003D4A1A" w:rsidP="003D4A1A">
      <w:pPr>
        <w:rPr>
          <w:rFonts w:cs="Arial"/>
        </w:rPr>
      </w:pPr>
      <w:r w:rsidRPr="007B6E54">
        <w:rPr>
          <w:rFonts w:cs="Arial"/>
          <w:b/>
        </w:rPr>
        <w:t>Equalities Impact</w:t>
      </w:r>
    </w:p>
    <w:p w:rsidR="003D4A1A" w:rsidRPr="003D4A1A" w:rsidRDefault="003D4A1A" w:rsidP="003D4A1A">
      <w:pPr>
        <w:rPr>
          <w:rFonts w:cs="Arial"/>
        </w:rPr>
      </w:pPr>
    </w:p>
    <w:p w:rsidR="003D4A1A" w:rsidRPr="004207BD" w:rsidRDefault="003D4A1A" w:rsidP="004207BD">
      <w:pPr>
        <w:pStyle w:val="ListParagraph"/>
        <w:numPr>
          <w:ilvl w:val="0"/>
          <w:numId w:val="3"/>
        </w:numPr>
        <w:rPr>
          <w:rFonts w:cs="Arial"/>
        </w:rPr>
      </w:pPr>
      <w:r>
        <w:rPr>
          <w:rFonts w:cs="Arial"/>
        </w:rPr>
        <w:t>There is no equalities impact relating to this report.</w:t>
      </w:r>
    </w:p>
    <w:p w:rsidR="007B6E54" w:rsidRDefault="007B6E54">
      <w:pPr>
        <w:rPr>
          <w:rFonts w:cs="Arial"/>
          <w:b/>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3D4A1A">
              <w:t xml:space="preserve">:  Anna </w:t>
            </w:r>
            <w:proofErr w:type="spellStart"/>
            <w:r w:rsidR="003D4A1A">
              <w:t>Winship</w:t>
            </w:r>
            <w:proofErr w:type="spellEnd"/>
          </w:p>
        </w:tc>
      </w:tr>
      <w:tr w:rsidR="00713675">
        <w:tc>
          <w:tcPr>
            <w:tcW w:w="8522" w:type="dxa"/>
          </w:tcPr>
          <w:p w:rsidR="00713675" w:rsidRDefault="00713675" w:rsidP="00855C66">
            <w:pPr>
              <w:tabs>
                <w:tab w:val="left" w:pos="720"/>
                <w:tab w:val="left" w:pos="1440"/>
                <w:tab w:val="left" w:pos="2160"/>
                <w:tab w:val="left" w:pos="2880"/>
              </w:tabs>
            </w:pPr>
            <w:r>
              <w:t>Job title</w:t>
            </w:r>
            <w:r w:rsidR="003D4A1A">
              <w:t>:  Financial Accounting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D4A1A">
              <w:t>:  Finance</w:t>
            </w:r>
          </w:p>
        </w:tc>
      </w:tr>
      <w:tr w:rsidR="00713675">
        <w:tc>
          <w:tcPr>
            <w:tcW w:w="8522" w:type="dxa"/>
          </w:tcPr>
          <w:p w:rsidR="00713675" w:rsidRDefault="00713675" w:rsidP="003D4A1A">
            <w:pPr>
              <w:tabs>
                <w:tab w:val="left" w:pos="720"/>
                <w:tab w:val="left" w:pos="1440"/>
                <w:tab w:val="left" w:pos="2160"/>
                <w:tab w:val="left" w:pos="2880"/>
              </w:tabs>
              <w:rPr>
                <w:color w:val="0000FF"/>
                <w:u w:val="single"/>
              </w:rPr>
            </w:pPr>
            <w:r>
              <w:t xml:space="preserve">Tel:  01865 </w:t>
            </w:r>
            <w:r w:rsidR="003D4A1A">
              <w:t>252517</w:t>
            </w:r>
            <w:r>
              <w:t xml:space="preserve">  e-mail:  </w:t>
            </w:r>
            <w:hyperlink r:id="rId10" w:history="1">
              <w:r w:rsidR="003D4A1A" w:rsidRPr="00381927">
                <w:rPr>
                  <w:rStyle w:val="Hyperlink"/>
                </w:rPr>
                <w:t>awinship@oxford.gov.uk</w:t>
              </w:r>
            </w:hyperlink>
            <w:r w:rsidR="003D4A1A">
              <w:t xml:space="preserve">  </w:t>
            </w:r>
          </w:p>
        </w:tc>
      </w:tr>
    </w:tbl>
    <w:p w:rsidR="00F4367A" w:rsidRDefault="00F4367A">
      <w:pPr>
        <w:rPr>
          <w:rFonts w:cs="Arial"/>
          <w:b/>
          <w:bCs/>
          <w:sz w:val="20"/>
        </w:rPr>
      </w:pPr>
    </w:p>
    <w:p w:rsidR="00F4367A" w:rsidRDefault="00F4367A">
      <w:pPr>
        <w:rPr>
          <w:rFonts w:cs="Arial"/>
          <w:bCs/>
          <w:i/>
        </w:rPr>
      </w:pPr>
      <w:r>
        <w:rPr>
          <w:rFonts w:cs="Arial"/>
          <w:b/>
          <w:bCs/>
        </w:rPr>
        <w:t>List of background papers:</w:t>
      </w:r>
    </w:p>
    <w:p w:rsidR="007739D1" w:rsidRDefault="007739D1">
      <w:pPr>
        <w:rPr>
          <w:rFonts w:cs="Arial"/>
          <w:bCs/>
          <w:i/>
        </w:rPr>
      </w:pPr>
      <w:r>
        <w:rPr>
          <w:rFonts w:cs="Arial"/>
          <w:bCs/>
          <w:i/>
        </w:rPr>
        <w:br w:type="page"/>
      </w:r>
    </w:p>
    <w:p w:rsidR="00177C9D" w:rsidRDefault="00177C9D">
      <w:pPr>
        <w:rPr>
          <w:rFonts w:cs="Arial"/>
          <w:bCs/>
          <w:i/>
        </w:rPr>
      </w:pPr>
    </w:p>
    <w:p w:rsidR="00623C2F" w:rsidRPr="00623C2F" w:rsidRDefault="00623C2F">
      <w:pPr>
        <w:rPr>
          <w:rFonts w:cs="Arial"/>
          <w:bCs/>
          <w:i/>
        </w:rPr>
      </w:pPr>
    </w:p>
    <w:p w:rsidR="007739D1" w:rsidRDefault="007739D1" w:rsidP="007739D1">
      <w:pPr>
        <w:pStyle w:val="Heading1"/>
        <w:rPr>
          <w:rFonts w:eastAsia="Times"/>
        </w:rPr>
      </w:pPr>
    </w:p>
    <w:p w:rsidR="007739D1" w:rsidRDefault="007739D1" w:rsidP="007739D1">
      <w:pPr>
        <w:pStyle w:val="Heading1"/>
        <w:rPr>
          <w:rFonts w:eastAsia="Times"/>
        </w:rPr>
      </w:pP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r>
      <w:r>
        <w:rPr>
          <w:rFonts w:eastAsia="Times"/>
        </w:rPr>
        <w:tab/>
        <w:t>APPENDIX 1</w:t>
      </w:r>
    </w:p>
    <w:p w:rsidR="007739D1" w:rsidRDefault="007739D1" w:rsidP="007739D1"/>
    <w:p w:rsidR="007739D1" w:rsidRPr="006F2A35" w:rsidRDefault="007739D1" w:rsidP="007739D1"/>
    <w:p w:rsidR="007739D1" w:rsidRPr="00D02E25" w:rsidRDefault="00080420" w:rsidP="007739D1">
      <w:pPr>
        <w:pStyle w:val="BodyText2"/>
        <w:spacing w:line="240" w:lineRule="auto"/>
        <w:rPr>
          <w:b/>
          <w:u w:val="single"/>
        </w:rPr>
      </w:pPr>
      <w:r>
        <w:rPr>
          <w:b/>
          <w:u w:val="single"/>
        </w:rPr>
        <w:t xml:space="preserve">Treasury </w:t>
      </w:r>
      <w:r w:rsidR="007739D1" w:rsidRPr="00D02E25">
        <w:rPr>
          <w:b/>
          <w:u w:val="single"/>
        </w:rPr>
        <w:t>Management Practice (TMP) 1 – Credit and Counterparty Risk Management</w:t>
      </w:r>
    </w:p>
    <w:p w:rsidR="007739D1" w:rsidRPr="00EB770C" w:rsidRDefault="007739D1" w:rsidP="007739D1">
      <w:pPr>
        <w:rPr>
          <w:i/>
        </w:rPr>
      </w:pPr>
      <w:r w:rsidRPr="00EB770C">
        <w:t>The</w:t>
      </w:r>
      <w:r w:rsidR="002B5E6C">
        <w:t xml:space="preserve"> Department of Communities and Local Government</w:t>
      </w:r>
      <w:r w:rsidRPr="00EB770C">
        <w:t xml:space="preserve"> </w:t>
      </w:r>
      <w:r w:rsidR="002B5E6C">
        <w:t>(</w:t>
      </w:r>
      <w:r w:rsidRPr="00EB770C">
        <w:t>CLG</w:t>
      </w:r>
      <w:r w:rsidR="002B5E6C">
        <w:t>)</w:t>
      </w:r>
      <w:r w:rsidRPr="00EB770C">
        <w:t xml:space="preserve"> issued Investment Guidance in 2010, and this forms the structure of the Council’s policy below.</w:t>
      </w:r>
    </w:p>
    <w:p w:rsidR="007739D1" w:rsidRPr="00EB770C" w:rsidRDefault="007739D1" w:rsidP="007739D1"/>
    <w:p w:rsidR="007739D1" w:rsidRPr="00EB770C" w:rsidRDefault="007739D1" w:rsidP="007739D1">
      <w:r w:rsidRPr="00EB770C">
        <w:t xml:space="preserve">The key intention of the Guidance is to maintain the current requirement for </w:t>
      </w:r>
      <w:r w:rsidR="002F0A78">
        <w:t>c</w:t>
      </w:r>
      <w:r w:rsidRPr="00EB770C">
        <w:t xml:space="preserve">ouncils to invest prudently, and that priority is given to security and liquidity before yield.  In order to facilitate this objective the guidance requires this Council to have regard to the CIPFA publication </w:t>
      </w:r>
      <w:r w:rsidRPr="00883CD3">
        <w:rPr>
          <w:i/>
        </w:rPr>
        <w:t>Treasury Management in the Public Services: Code of Practice and Cross-</w:t>
      </w:r>
      <w:proofErr w:type="spellStart"/>
      <w:r w:rsidRPr="00883CD3">
        <w:rPr>
          <w:i/>
        </w:rPr>
        <w:t>Sectoral</w:t>
      </w:r>
      <w:proofErr w:type="spellEnd"/>
      <w:r w:rsidRPr="00883CD3">
        <w:rPr>
          <w:i/>
        </w:rPr>
        <w:t xml:space="preserve"> Guidance Notes</w:t>
      </w:r>
      <w:r w:rsidRPr="00EB770C">
        <w:t xml:space="preserve">.  This Council has adopted the Code and will apply its principles to all investment activity.  In accordance with the Code, the Section 151 Officer has produced </w:t>
      </w:r>
      <w:r w:rsidR="002F0A78">
        <w:t>T</w:t>
      </w:r>
      <w:r w:rsidRPr="00EB770C">
        <w:t xml:space="preserve">reasury </w:t>
      </w:r>
      <w:r w:rsidR="002F0A78">
        <w:t>M</w:t>
      </w:r>
      <w:r w:rsidRPr="00EB770C">
        <w:t xml:space="preserve">anagement </w:t>
      </w:r>
      <w:r w:rsidR="002F0A78">
        <w:t>P</w:t>
      </w:r>
      <w:r w:rsidRPr="00EB770C">
        <w:t>ractices (TMPs).  This part, TMP 1, covering investment counterparty policy requires approval each year.</w:t>
      </w:r>
    </w:p>
    <w:p w:rsidR="007739D1" w:rsidRPr="00EB770C" w:rsidRDefault="007739D1" w:rsidP="007739D1"/>
    <w:p w:rsidR="007739D1" w:rsidRPr="00EB770C" w:rsidRDefault="007739D1" w:rsidP="007739D1">
      <w:r w:rsidRPr="00EB770C">
        <w:rPr>
          <w:b/>
        </w:rPr>
        <w:t>Annual Investment Strategy</w:t>
      </w:r>
      <w:r w:rsidRPr="00EB770C">
        <w:t xml:space="preserve"> - The key requirements of both the Code and the investment guidance are </w:t>
      </w:r>
      <w:r w:rsidR="00080420">
        <w:t>that Councils</w:t>
      </w:r>
      <w:r w:rsidRPr="00EB770C">
        <w:t xml:space="preserve"> set an annual </w:t>
      </w:r>
      <w:r w:rsidR="00FE7E3F">
        <w:t>I</w:t>
      </w:r>
      <w:r w:rsidRPr="00EB770C">
        <w:t xml:space="preserve">nvestment </w:t>
      </w:r>
      <w:r w:rsidR="00FE7E3F">
        <w:t>S</w:t>
      </w:r>
      <w:r w:rsidRPr="00EB770C">
        <w:t xml:space="preserve">trategy, as part of </w:t>
      </w:r>
      <w:r w:rsidR="005A5FF9">
        <w:t>their</w:t>
      </w:r>
      <w:r w:rsidRPr="00EB770C">
        <w:t xml:space="preserve"> </w:t>
      </w:r>
      <w:r w:rsidR="005A5FF9">
        <w:t>T</w:t>
      </w:r>
      <w:r w:rsidRPr="00EB770C">
        <w:t xml:space="preserve">reasury </w:t>
      </w:r>
      <w:r w:rsidR="005A5FF9">
        <w:t>S</w:t>
      </w:r>
      <w:r w:rsidRPr="00EB770C">
        <w:t>trategy for the following year</w:t>
      </w:r>
      <w:r w:rsidRPr="00EB770C">
        <w:rPr>
          <w:i/>
        </w:rPr>
        <w:t>,</w:t>
      </w:r>
      <w:r w:rsidRPr="00EB770C">
        <w:t xml:space="preserve"> covering the identification and approval of the following:</w:t>
      </w:r>
    </w:p>
    <w:p w:rsidR="007739D1" w:rsidRPr="00EB770C" w:rsidRDefault="007739D1" w:rsidP="007739D1"/>
    <w:p w:rsidR="007739D1" w:rsidRPr="00EB770C" w:rsidRDefault="007739D1" w:rsidP="007739D1">
      <w:pPr>
        <w:numPr>
          <w:ilvl w:val="0"/>
          <w:numId w:val="10"/>
        </w:numPr>
        <w:tabs>
          <w:tab w:val="num" w:pos="1080"/>
        </w:tabs>
      </w:pPr>
      <w:r w:rsidRPr="00EB770C">
        <w:t xml:space="preserve">The guidelines for choosing and placing investments, particularly         </w:t>
      </w:r>
    </w:p>
    <w:p w:rsidR="007739D1" w:rsidRPr="00EB770C" w:rsidRDefault="007739D1" w:rsidP="007739D1">
      <w:pPr>
        <w:tabs>
          <w:tab w:val="num" w:pos="1080"/>
        </w:tabs>
        <w:ind w:left="284"/>
      </w:pPr>
      <w:r w:rsidRPr="00EB770C">
        <w:t xml:space="preserve">   </w:t>
      </w:r>
      <w:proofErr w:type="gramStart"/>
      <w:r w:rsidRPr="00EB770C">
        <w:t>non-specified</w:t>
      </w:r>
      <w:proofErr w:type="gramEnd"/>
      <w:r w:rsidRPr="00EB770C">
        <w:t xml:space="preserve"> investments.</w:t>
      </w:r>
    </w:p>
    <w:p w:rsidR="007739D1" w:rsidRPr="00EB770C" w:rsidRDefault="007739D1" w:rsidP="007739D1">
      <w:pPr>
        <w:numPr>
          <w:ilvl w:val="0"/>
          <w:numId w:val="10"/>
        </w:numPr>
        <w:tabs>
          <w:tab w:val="num" w:pos="1080"/>
        </w:tabs>
      </w:pPr>
      <w:r w:rsidRPr="00EB770C">
        <w:t xml:space="preserve">The principles to be used to determine the maximum periods for which </w:t>
      </w:r>
    </w:p>
    <w:p w:rsidR="007739D1" w:rsidRPr="00EB770C" w:rsidRDefault="007739D1" w:rsidP="007739D1">
      <w:pPr>
        <w:tabs>
          <w:tab w:val="num" w:pos="1080"/>
        </w:tabs>
        <w:ind w:left="284"/>
      </w:pPr>
      <w:r w:rsidRPr="00EB770C">
        <w:t xml:space="preserve">  </w:t>
      </w:r>
      <w:proofErr w:type="gramStart"/>
      <w:r w:rsidRPr="00EB770C">
        <w:t>funds</w:t>
      </w:r>
      <w:proofErr w:type="gramEnd"/>
      <w:r w:rsidRPr="00EB770C">
        <w:t xml:space="preserve"> can be committed.</w:t>
      </w:r>
    </w:p>
    <w:p w:rsidR="007739D1" w:rsidRPr="00EB770C" w:rsidRDefault="007739D1" w:rsidP="002B5E6C">
      <w:pPr>
        <w:numPr>
          <w:ilvl w:val="0"/>
          <w:numId w:val="10"/>
        </w:numPr>
        <w:tabs>
          <w:tab w:val="num" w:pos="1080"/>
        </w:tabs>
      </w:pPr>
      <w:r w:rsidRPr="00EB770C">
        <w:t xml:space="preserve">Specified investments the Council will use.  </w:t>
      </w:r>
    </w:p>
    <w:p w:rsidR="007739D1" w:rsidRPr="00EB770C" w:rsidRDefault="007739D1" w:rsidP="007739D1">
      <w:pPr>
        <w:numPr>
          <w:ilvl w:val="0"/>
          <w:numId w:val="10"/>
        </w:numPr>
        <w:tabs>
          <w:tab w:val="num" w:pos="1080"/>
        </w:tabs>
      </w:pPr>
      <w:r w:rsidRPr="00EB770C">
        <w:t xml:space="preserve">Non-specified investments, clarifying the greater risk implications,  </w:t>
      </w:r>
    </w:p>
    <w:p w:rsidR="007739D1" w:rsidRPr="00EB770C" w:rsidRDefault="007739D1" w:rsidP="007739D1">
      <w:pPr>
        <w:tabs>
          <w:tab w:val="num" w:pos="1080"/>
        </w:tabs>
        <w:ind w:left="284"/>
      </w:pPr>
      <w:proofErr w:type="gramStart"/>
      <w:r w:rsidRPr="00EB770C">
        <w:t>and</w:t>
      </w:r>
      <w:proofErr w:type="gramEnd"/>
      <w:r w:rsidRPr="00EB770C">
        <w:t xml:space="preserve"> the overall amount of various categories that can be held at any time.</w:t>
      </w:r>
    </w:p>
    <w:p w:rsidR="007739D1" w:rsidRPr="00EB770C" w:rsidRDefault="007739D1" w:rsidP="007739D1"/>
    <w:p w:rsidR="007739D1" w:rsidRPr="00EB770C" w:rsidRDefault="007739D1" w:rsidP="007739D1">
      <w:pPr>
        <w:spacing w:after="120"/>
      </w:pPr>
      <w:r w:rsidRPr="00EB770C">
        <w:rPr>
          <w:b/>
        </w:rPr>
        <w:t>Specified Investments</w:t>
      </w:r>
      <w:r w:rsidRPr="00EB770C">
        <w:t xml:space="preserve"> – These investm</w:t>
      </w:r>
      <w:r>
        <w:t>ents are sterling investments that do not</w:t>
      </w:r>
      <w:r w:rsidRPr="00EB770C">
        <w:t xml:space="preserve"> </w:t>
      </w:r>
      <w:r>
        <w:t xml:space="preserve">exceed a maturity period of more than one year, </w:t>
      </w:r>
      <w:r w:rsidRPr="00EB770C">
        <w:t>or those which could be for a longer period but where the Council has the right t</w:t>
      </w:r>
      <w:r>
        <w:t>o be repaid within twelve</w:t>
      </w:r>
      <w:r w:rsidRPr="00EB770C">
        <w:t xml:space="preserve"> months if it wishes.  These are considered low risk assets where the possibility of loss of principal or investment income is small.  These would include sterling investments which would not be defined as capital expenditure with:</w:t>
      </w:r>
    </w:p>
    <w:p w:rsidR="007739D1" w:rsidRPr="00EB770C" w:rsidRDefault="007739D1" w:rsidP="007739D1">
      <w:pPr>
        <w:numPr>
          <w:ilvl w:val="0"/>
          <w:numId w:val="11"/>
        </w:numPr>
      </w:pPr>
      <w:r w:rsidRPr="00EB770C">
        <w:t>The UK Government (such as the Debt Management Account deposit facility, UK Treasury Bills or Gilts with less than one year to maturity).</w:t>
      </w:r>
    </w:p>
    <w:p w:rsidR="007739D1" w:rsidRPr="00EB770C" w:rsidRDefault="002B5E6C" w:rsidP="007739D1">
      <w:pPr>
        <w:numPr>
          <w:ilvl w:val="0"/>
          <w:numId w:val="11"/>
        </w:numPr>
      </w:pPr>
      <w:r w:rsidRPr="00EB770C">
        <w:t>Supranational</w:t>
      </w:r>
      <w:r w:rsidR="007739D1" w:rsidRPr="00EB770C">
        <w:t xml:space="preserve"> bonds of less than one year’s duration.</w:t>
      </w:r>
    </w:p>
    <w:p w:rsidR="007739D1" w:rsidRPr="00EB770C" w:rsidRDefault="007739D1" w:rsidP="007739D1">
      <w:pPr>
        <w:numPr>
          <w:ilvl w:val="0"/>
          <w:numId w:val="11"/>
        </w:numPr>
      </w:pPr>
      <w:r w:rsidRPr="00EB770C">
        <w:t xml:space="preserve">A </w:t>
      </w:r>
      <w:r>
        <w:t>L</w:t>
      </w:r>
      <w:r w:rsidRPr="00EB770C">
        <w:t xml:space="preserve">ocal </w:t>
      </w:r>
      <w:r>
        <w:t>A</w:t>
      </w:r>
      <w:r w:rsidRPr="00EB770C">
        <w:t xml:space="preserve">uthority, </w:t>
      </w:r>
      <w:r>
        <w:t>P</w:t>
      </w:r>
      <w:r w:rsidRPr="00EB770C">
        <w:t xml:space="preserve">arish </w:t>
      </w:r>
      <w:r>
        <w:t>C</w:t>
      </w:r>
      <w:r w:rsidRPr="00EB770C">
        <w:t xml:space="preserve">ouncil, </w:t>
      </w:r>
      <w:r>
        <w:t>C</w:t>
      </w:r>
      <w:r w:rsidRPr="00EB770C">
        <w:t xml:space="preserve">ommunity </w:t>
      </w:r>
      <w:r>
        <w:t>C</w:t>
      </w:r>
      <w:r w:rsidRPr="00EB770C">
        <w:t>ouncil, Fire or Police Authority</w:t>
      </w:r>
    </w:p>
    <w:p w:rsidR="007739D1" w:rsidRPr="00EB770C" w:rsidRDefault="007739D1" w:rsidP="007739D1">
      <w:pPr>
        <w:numPr>
          <w:ilvl w:val="0"/>
          <w:numId w:val="11"/>
        </w:numPr>
        <w:rPr>
          <w:i/>
        </w:rPr>
      </w:pPr>
      <w:r w:rsidRPr="00EB770C">
        <w:t>Pooled investment vehicles (such as money market funds) that have been awarded a high credit rating by a credit rating agency. For category 4</w:t>
      </w:r>
      <w:r>
        <w:t>,</w:t>
      </w:r>
      <w:r w:rsidRPr="00EB770C">
        <w:t xml:space="preserve"> this covers pooled investment vehicles, such as money market funds, rated AAA by </w:t>
      </w:r>
      <w:proofErr w:type="gramStart"/>
      <w:r w:rsidRPr="00EB770C">
        <w:t>Standard</w:t>
      </w:r>
      <w:proofErr w:type="gramEnd"/>
      <w:r w:rsidRPr="00EB770C">
        <w:t xml:space="preserve"> and Poor’s, Moody’s or Fitch rating agencies</w:t>
      </w:r>
      <w:r w:rsidRPr="00EB770C">
        <w:rPr>
          <w:i/>
        </w:rPr>
        <w:t>.</w:t>
      </w:r>
    </w:p>
    <w:p w:rsidR="007739D1" w:rsidRPr="00EB770C" w:rsidRDefault="007739D1" w:rsidP="007739D1">
      <w:pPr>
        <w:numPr>
          <w:ilvl w:val="0"/>
          <w:numId w:val="11"/>
        </w:numPr>
        <w:rPr>
          <w:i/>
        </w:rPr>
      </w:pPr>
      <w:r w:rsidRPr="00EB770C">
        <w:t xml:space="preserve">A body that is considered of a high credit quality (such as a bank or building society) meeting the minimum ‘high’ quality criteria where applicable.  </w:t>
      </w:r>
    </w:p>
    <w:p w:rsidR="007739D1" w:rsidRPr="00EB770C" w:rsidRDefault="007E6443" w:rsidP="007739D1">
      <w:pPr>
        <w:spacing w:before="120"/>
      </w:pPr>
      <w:r>
        <w:t>Additionally</w:t>
      </w:r>
      <w:r w:rsidR="007739D1" w:rsidRPr="00EB770C">
        <w:t xml:space="preserve">, and in accordance with the Code, the Council has set </w:t>
      </w:r>
      <w:r>
        <w:t>duration and value limits</w:t>
      </w:r>
      <w:r w:rsidR="000A1189">
        <w:t xml:space="preserve"> as follows:</w:t>
      </w:r>
      <w:r w:rsidR="007739D1" w:rsidRPr="00EB770C">
        <w:t xml:space="preserve">  </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340"/>
        <w:gridCol w:w="1620"/>
        <w:gridCol w:w="1980"/>
      </w:tblGrid>
      <w:tr w:rsidR="007739D1" w:rsidRPr="00EB770C" w:rsidTr="0094133F">
        <w:tc>
          <w:tcPr>
            <w:tcW w:w="3888" w:type="dxa"/>
            <w:shd w:val="clear" w:color="auto" w:fill="D9D9D9"/>
          </w:tcPr>
          <w:p w:rsidR="007739D1" w:rsidRPr="00EB770C" w:rsidRDefault="007739D1" w:rsidP="0094133F">
            <w:pPr>
              <w:spacing w:before="120"/>
              <w:jc w:val="center"/>
            </w:pPr>
          </w:p>
        </w:tc>
        <w:tc>
          <w:tcPr>
            <w:tcW w:w="2340" w:type="dxa"/>
            <w:shd w:val="clear" w:color="auto" w:fill="D9D9D9"/>
          </w:tcPr>
          <w:p w:rsidR="007739D1" w:rsidRPr="00EB770C" w:rsidRDefault="007739D1" w:rsidP="0094133F">
            <w:pPr>
              <w:spacing w:before="120"/>
              <w:jc w:val="center"/>
              <w:rPr>
                <w:b/>
              </w:rPr>
            </w:pPr>
            <w:r w:rsidRPr="00EB770C">
              <w:rPr>
                <w:b/>
              </w:rPr>
              <w:t>Minimum credit criteria/colour banding</w:t>
            </w:r>
          </w:p>
        </w:tc>
        <w:tc>
          <w:tcPr>
            <w:tcW w:w="1620" w:type="dxa"/>
            <w:shd w:val="clear" w:color="auto" w:fill="D9D9D9"/>
          </w:tcPr>
          <w:p w:rsidR="007739D1" w:rsidRPr="00EB770C" w:rsidRDefault="007739D1" w:rsidP="0094133F">
            <w:pPr>
              <w:spacing w:before="120"/>
              <w:jc w:val="center"/>
              <w:rPr>
                <w:b/>
              </w:rPr>
            </w:pPr>
            <w:r w:rsidRPr="00EB770C">
              <w:rPr>
                <w:b/>
              </w:rPr>
              <w:t>Max % of total investments/£ limit per institution</w:t>
            </w:r>
          </w:p>
        </w:tc>
        <w:tc>
          <w:tcPr>
            <w:tcW w:w="1980" w:type="dxa"/>
            <w:shd w:val="clear" w:color="auto" w:fill="D9D9D9"/>
          </w:tcPr>
          <w:p w:rsidR="007739D1" w:rsidRPr="00EB770C" w:rsidRDefault="007739D1" w:rsidP="0094133F">
            <w:pPr>
              <w:spacing w:before="120"/>
              <w:jc w:val="center"/>
              <w:rPr>
                <w:b/>
              </w:rPr>
            </w:pPr>
            <w:r w:rsidRPr="00EB770C">
              <w:rPr>
                <w:b/>
              </w:rPr>
              <w:t>Max maturity period</w:t>
            </w:r>
          </w:p>
        </w:tc>
      </w:tr>
      <w:tr w:rsidR="007739D1" w:rsidRPr="00EB770C" w:rsidTr="0094133F">
        <w:tc>
          <w:tcPr>
            <w:tcW w:w="3888" w:type="dxa"/>
            <w:shd w:val="clear" w:color="auto" w:fill="auto"/>
          </w:tcPr>
          <w:p w:rsidR="007739D1" w:rsidRPr="00EB770C" w:rsidRDefault="007739D1" w:rsidP="002B5E6C">
            <w:pPr>
              <w:spacing w:before="120"/>
            </w:pPr>
            <w:r w:rsidRPr="00EB770C">
              <w:t>D</w:t>
            </w:r>
            <w:r w:rsidR="002B5E6C">
              <w:t xml:space="preserve">ebt </w:t>
            </w:r>
            <w:r w:rsidRPr="00EB770C">
              <w:t>M</w:t>
            </w:r>
            <w:r w:rsidR="002B5E6C">
              <w:t>anagement Office</w:t>
            </w:r>
            <w:r w:rsidR="002B5E6C" w:rsidRPr="00EB770C">
              <w:t xml:space="preserve"> </w:t>
            </w:r>
            <w:r w:rsidRPr="00EB770C">
              <w:t>– UK Government</w:t>
            </w:r>
          </w:p>
        </w:tc>
        <w:tc>
          <w:tcPr>
            <w:tcW w:w="2340" w:type="dxa"/>
            <w:shd w:val="clear" w:color="auto" w:fill="auto"/>
          </w:tcPr>
          <w:p w:rsidR="007739D1" w:rsidRPr="00EB770C" w:rsidRDefault="007739D1" w:rsidP="0094133F">
            <w:pPr>
              <w:spacing w:before="120"/>
            </w:pPr>
            <w:r w:rsidRPr="00EB770C">
              <w:t>Not applicable</w:t>
            </w: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Gilts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UK Government Treasury Bills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tcPr>
          <w:p w:rsidR="007739D1" w:rsidRPr="00EB770C" w:rsidRDefault="007739D1" w:rsidP="0094133F">
            <w:pPr>
              <w:spacing w:before="120"/>
            </w:pPr>
            <w:r w:rsidRPr="00EB770C">
              <w:t>Bonds issued by multilateral development banks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Money Market Fund</w:t>
            </w:r>
          </w:p>
        </w:tc>
        <w:tc>
          <w:tcPr>
            <w:tcW w:w="2340" w:type="dxa"/>
            <w:shd w:val="clear" w:color="auto" w:fill="auto"/>
          </w:tcPr>
          <w:p w:rsidR="007739D1" w:rsidRPr="00EB770C" w:rsidRDefault="007739D1" w:rsidP="0094133F">
            <w:pPr>
              <w:spacing w:before="120"/>
            </w:pPr>
            <w:r w:rsidRPr="00EB770C">
              <w:t>AAA</w:t>
            </w:r>
          </w:p>
        </w:tc>
        <w:tc>
          <w:tcPr>
            <w:tcW w:w="1620" w:type="dxa"/>
            <w:shd w:val="clear" w:color="auto" w:fill="auto"/>
          </w:tcPr>
          <w:p w:rsidR="007739D1" w:rsidRPr="00EB770C" w:rsidRDefault="007739D1" w:rsidP="0094133F">
            <w:pPr>
              <w:spacing w:before="120"/>
            </w:pPr>
            <w:r w:rsidRPr="00EB770C">
              <w:t>£20m</w:t>
            </w:r>
          </w:p>
        </w:tc>
        <w:tc>
          <w:tcPr>
            <w:tcW w:w="1980" w:type="dxa"/>
            <w:shd w:val="clear" w:color="auto" w:fill="auto"/>
          </w:tcPr>
          <w:p w:rsidR="007739D1" w:rsidRPr="00EB770C" w:rsidRDefault="007739D1" w:rsidP="0094133F">
            <w:pPr>
              <w:spacing w:before="120"/>
            </w:pPr>
            <w:r w:rsidRPr="00EB770C">
              <w:t>Liquid</w:t>
            </w:r>
          </w:p>
        </w:tc>
      </w:tr>
      <w:tr w:rsidR="007739D1" w:rsidRPr="00EB770C" w:rsidTr="0094133F">
        <w:tc>
          <w:tcPr>
            <w:tcW w:w="3888"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100%</w:t>
            </w:r>
          </w:p>
        </w:tc>
        <w:tc>
          <w:tcPr>
            <w:tcW w:w="1980" w:type="dxa"/>
            <w:shd w:val="clear" w:color="auto" w:fill="auto"/>
          </w:tcPr>
          <w:p w:rsidR="007739D1" w:rsidRPr="00EB770C" w:rsidRDefault="007739D1" w:rsidP="0094133F">
            <w:pPr>
              <w:spacing w:before="120"/>
            </w:pPr>
            <w:r>
              <w:t>364 days</w:t>
            </w:r>
          </w:p>
        </w:tc>
      </w:tr>
      <w:tr w:rsidR="007739D1" w:rsidRPr="00EB770C" w:rsidTr="0094133F">
        <w:tc>
          <w:tcPr>
            <w:tcW w:w="3888"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 xml:space="preserve">Term deposits with banks and </w:t>
            </w:r>
            <w:r>
              <w:rPr>
                <w:rFonts w:cs="Arial"/>
                <w:noProof/>
              </w:rPr>
              <w:t xml:space="preserve">rated </w:t>
            </w:r>
            <w:r w:rsidRPr="00EB770C">
              <w:rPr>
                <w:rFonts w:cs="Arial"/>
                <w:noProof/>
              </w:rPr>
              <w:t>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Pr>
                <w:rFonts w:cs="Arial"/>
                <w:noProof/>
              </w:rPr>
              <w:t>£15</w:t>
            </w:r>
            <w:r w:rsidRPr="00EB770C">
              <w:rPr>
                <w:rFonts w:cs="Arial"/>
                <w:noProof/>
              </w:rPr>
              <w:t>m or 20% of total investments</w:t>
            </w:r>
            <w:r w:rsidR="00BB0997">
              <w:rPr>
                <w:rFonts w:cs="Arial"/>
                <w:noProof/>
              </w:rPr>
              <w:t xml:space="preserve"> 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tc>
      </w:tr>
      <w:tr w:rsidR="007739D1" w:rsidRPr="00EB770C" w:rsidTr="0094133F">
        <w:tc>
          <w:tcPr>
            <w:tcW w:w="3888" w:type="dxa"/>
            <w:shd w:val="clear" w:color="auto" w:fill="auto"/>
            <w:vAlign w:val="center"/>
          </w:tcPr>
          <w:p w:rsidR="007739D1" w:rsidRPr="00EB770C" w:rsidRDefault="00BD45A8" w:rsidP="00BD45A8">
            <w:pPr>
              <w:numPr>
                <w:ilvl w:val="12"/>
                <w:numId w:val="0"/>
              </w:numPr>
              <w:tabs>
                <w:tab w:val="left" w:pos="360"/>
              </w:tabs>
              <w:rPr>
                <w:rFonts w:cs="Arial"/>
                <w:noProof/>
              </w:rPr>
            </w:pPr>
            <w:r>
              <w:rPr>
                <w:rFonts w:cs="Arial"/>
                <w:noProof/>
              </w:rPr>
              <w:t>certificate of Deposit</w:t>
            </w:r>
            <w:r w:rsidR="007739D1" w:rsidRPr="00EB770C">
              <w:rPr>
                <w:rFonts w:cs="Arial"/>
                <w:noProof/>
              </w:rPr>
              <w:t xml:space="preserve"> or corporate bonds  with banks and building societies</w:t>
            </w:r>
          </w:p>
        </w:tc>
        <w:tc>
          <w:tcPr>
            <w:tcW w:w="234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Blue</w:t>
            </w:r>
          </w:p>
          <w:p w:rsidR="007739D1" w:rsidRPr="00EB770C" w:rsidRDefault="007739D1" w:rsidP="0094133F">
            <w:pPr>
              <w:numPr>
                <w:ilvl w:val="12"/>
                <w:numId w:val="0"/>
              </w:numPr>
              <w:tabs>
                <w:tab w:val="left" w:pos="360"/>
              </w:tabs>
              <w:rPr>
                <w:rFonts w:cs="Arial"/>
                <w:noProof/>
              </w:rPr>
            </w:pPr>
            <w:r w:rsidRPr="00EB770C">
              <w:rPr>
                <w:rFonts w:cs="Arial"/>
                <w:noProof/>
              </w:rPr>
              <w:t>Orange</w:t>
            </w:r>
          </w:p>
          <w:p w:rsidR="007739D1" w:rsidRPr="00EB770C" w:rsidRDefault="007739D1" w:rsidP="0094133F">
            <w:pPr>
              <w:numPr>
                <w:ilvl w:val="12"/>
                <w:numId w:val="0"/>
              </w:numPr>
              <w:tabs>
                <w:tab w:val="left" w:pos="360"/>
              </w:tabs>
              <w:rPr>
                <w:rFonts w:cs="Arial"/>
                <w:noProof/>
              </w:rPr>
            </w:pPr>
            <w:r w:rsidRPr="00EB770C">
              <w:rPr>
                <w:rFonts w:cs="Arial"/>
                <w:noProof/>
              </w:rPr>
              <w:t>Red</w:t>
            </w:r>
          </w:p>
          <w:p w:rsidR="007739D1" w:rsidRPr="00EB770C" w:rsidRDefault="007739D1" w:rsidP="0094133F">
            <w:pPr>
              <w:numPr>
                <w:ilvl w:val="12"/>
                <w:numId w:val="0"/>
              </w:numPr>
              <w:tabs>
                <w:tab w:val="left" w:pos="360"/>
              </w:tabs>
              <w:rPr>
                <w:rFonts w:cs="Arial"/>
                <w:noProof/>
              </w:rPr>
            </w:pPr>
            <w:r w:rsidRPr="00EB770C">
              <w:rPr>
                <w:rFonts w:cs="Arial"/>
                <w:noProof/>
              </w:rPr>
              <w:t>Green</w:t>
            </w:r>
          </w:p>
          <w:p w:rsidR="007739D1" w:rsidRPr="00EB770C" w:rsidRDefault="007739D1" w:rsidP="0094133F">
            <w:pPr>
              <w:numPr>
                <w:ilvl w:val="12"/>
                <w:numId w:val="0"/>
              </w:numPr>
              <w:tabs>
                <w:tab w:val="left" w:pos="360"/>
              </w:tabs>
              <w:rPr>
                <w:rFonts w:cs="Arial"/>
                <w:noProof/>
              </w:rPr>
            </w:pPr>
          </w:p>
        </w:tc>
        <w:tc>
          <w:tcPr>
            <w:tcW w:w="162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£10m or 20% of total investments</w:t>
            </w:r>
            <w:r w:rsidR="00BB0997">
              <w:rPr>
                <w:rFonts w:cs="Arial"/>
                <w:noProof/>
              </w:rPr>
              <w:t>whichever is the greater</w:t>
            </w:r>
          </w:p>
        </w:tc>
        <w:tc>
          <w:tcPr>
            <w:tcW w:w="1980"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1 year</w:t>
            </w:r>
          </w:p>
          <w:p w:rsidR="007739D1" w:rsidRPr="00EB770C" w:rsidRDefault="007739D1" w:rsidP="0094133F">
            <w:pPr>
              <w:numPr>
                <w:ilvl w:val="12"/>
                <w:numId w:val="0"/>
              </w:numPr>
              <w:tabs>
                <w:tab w:val="left" w:pos="360"/>
              </w:tabs>
              <w:rPr>
                <w:rFonts w:cs="Arial"/>
                <w:noProof/>
              </w:rPr>
            </w:pPr>
            <w:r w:rsidRPr="00EB770C">
              <w:rPr>
                <w:rFonts w:cs="Arial"/>
                <w:noProof/>
              </w:rPr>
              <w:t>Up to 6 Months</w:t>
            </w:r>
          </w:p>
          <w:p w:rsidR="007739D1" w:rsidRPr="00EB770C" w:rsidRDefault="007739D1" w:rsidP="0094133F">
            <w:pPr>
              <w:numPr>
                <w:ilvl w:val="12"/>
                <w:numId w:val="0"/>
              </w:numPr>
              <w:tabs>
                <w:tab w:val="left" w:pos="360"/>
              </w:tabs>
              <w:rPr>
                <w:rFonts w:cs="Arial"/>
                <w:noProof/>
              </w:rPr>
            </w:pPr>
            <w:r w:rsidRPr="00EB770C">
              <w:rPr>
                <w:rFonts w:cs="Arial"/>
                <w:noProof/>
              </w:rPr>
              <w:t xml:space="preserve">Up to </w:t>
            </w:r>
            <w:r>
              <w:rPr>
                <w:rFonts w:cs="Arial"/>
                <w:noProof/>
              </w:rPr>
              <w:t>100 days</w:t>
            </w:r>
          </w:p>
          <w:p w:rsidR="007739D1" w:rsidRPr="00EB770C" w:rsidRDefault="007739D1" w:rsidP="0094133F">
            <w:pPr>
              <w:numPr>
                <w:ilvl w:val="12"/>
                <w:numId w:val="0"/>
              </w:numPr>
              <w:tabs>
                <w:tab w:val="left" w:pos="360"/>
              </w:tabs>
              <w:rPr>
                <w:rFonts w:cs="Arial"/>
                <w:noProof/>
              </w:rPr>
            </w:pPr>
          </w:p>
        </w:tc>
      </w:tr>
      <w:tr w:rsidR="007739D1" w:rsidRPr="00EB770C" w:rsidTr="0094133F">
        <w:tc>
          <w:tcPr>
            <w:tcW w:w="3888" w:type="dxa"/>
            <w:shd w:val="clear" w:color="auto" w:fill="auto"/>
          </w:tcPr>
          <w:p w:rsidR="007739D1" w:rsidRPr="00EB770C" w:rsidRDefault="007739D1" w:rsidP="0094133F">
            <w:pPr>
              <w:spacing w:before="120"/>
            </w:pPr>
            <w:r w:rsidRPr="00EB770C">
              <w:t>Enhanced Cash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Corporate bond funds</w:t>
            </w:r>
          </w:p>
        </w:tc>
        <w:tc>
          <w:tcPr>
            <w:tcW w:w="2340" w:type="dxa"/>
            <w:shd w:val="clear" w:color="auto" w:fill="auto"/>
          </w:tcPr>
          <w:p w:rsidR="007739D1" w:rsidRPr="00EB770C" w:rsidRDefault="007739D1" w:rsidP="0094133F">
            <w:pPr>
              <w:spacing w:before="120"/>
            </w:pP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7739D1" w:rsidRPr="00EB770C" w:rsidTr="0094133F">
        <w:tc>
          <w:tcPr>
            <w:tcW w:w="3888" w:type="dxa"/>
            <w:shd w:val="clear" w:color="auto" w:fill="auto"/>
          </w:tcPr>
          <w:p w:rsidR="007739D1" w:rsidRPr="00EB770C" w:rsidRDefault="007739D1" w:rsidP="0094133F">
            <w:pPr>
              <w:spacing w:before="120"/>
            </w:pPr>
            <w:r w:rsidRPr="00EB770C">
              <w:t>Gilt Funds</w:t>
            </w:r>
          </w:p>
        </w:tc>
        <w:tc>
          <w:tcPr>
            <w:tcW w:w="2340" w:type="dxa"/>
            <w:shd w:val="clear" w:color="auto" w:fill="auto"/>
          </w:tcPr>
          <w:p w:rsidR="007739D1" w:rsidRPr="00EB770C" w:rsidRDefault="007739D1" w:rsidP="0094133F">
            <w:pPr>
              <w:spacing w:before="120"/>
            </w:pPr>
            <w:r w:rsidRPr="00EB770C">
              <w:t>UK sovereign rating</w:t>
            </w:r>
          </w:p>
        </w:tc>
        <w:tc>
          <w:tcPr>
            <w:tcW w:w="1620" w:type="dxa"/>
            <w:shd w:val="clear" w:color="auto" w:fill="auto"/>
          </w:tcPr>
          <w:p w:rsidR="007739D1" w:rsidRPr="00EB770C" w:rsidRDefault="007739D1" w:rsidP="0094133F">
            <w:pPr>
              <w:spacing w:before="120"/>
            </w:pPr>
            <w:r w:rsidRPr="00EB770C">
              <w:t>20%</w:t>
            </w:r>
          </w:p>
        </w:tc>
        <w:tc>
          <w:tcPr>
            <w:tcW w:w="1980" w:type="dxa"/>
            <w:shd w:val="clear" w:color="auto" w:fill="auto"/>
          </w:tcPr>
          <w:p w:rsidR="007739D1" w:rsidRPr="00EB770C" w:rsidRDefault="007739D1" w:rsidP="0094133F">
            <w:pPr>
              <w:spacing w:before="120"/>
            </w:pPr>
            <w:r w:rsidRPr="00EB770C">
              <w:t>6 months</w:t>
            </w:r>
          </w:p>
        </w:tc>
      </w:tr>
      <w:tr w:rsidR="00CD6EF2" w:rsidRPr="00EB770C" w:rsidTr="0094133F">
        <w:tc>
          <w:tcPr>
            <w:tcW w:w="3888" w:type="dxa"/>
            <w:shd w:val="clear" w:color="auto" w:fill="auto"/>
          </w:tcPr>
          <w:p w:rsidR="00CD6EF2" w:rsidRPr="00EB770C" w:rsidRDefault="00CD6EF2" w:rsidP="0094133F"/>
        </w:tc>
        <w:tc>
          <w:tcPr>
            <w:tcW w:w="2340" w:type="dxa"/>
            <w:shd w:val="clear" w:color="auto" w:fill="auto"/>
          </w:tcPr>
          <w:p w:rsidR="00CD6EF2" w:rsidRPr="00EB770C" w:rsidRDefault="00CD6EF2" w:rsidP="0094133F"/>
        </w:tc>
        <w:tc>
          <w:tcPr>
            <w:tcW w:w="1620" w:type="dxa"/>
            <w:shd w:val="clear" w:color="auto" w:fill="auto"/>
          </w:tcPr>
          <w:p w:rsidR="00CD6EF2" w:rsidRPr="00EB770C" w:rsidRDefault="00CD6EF2" w:rsidP="0094133F"/>
        </w:tc>
        <w:tc>
          <w:tcPr>
            <w:tcW w:w="1980" w:type="dxa"/>
            <w:shd w:val="clear" w:color="auto" w:fill="auto"/>
          </w:tcPr>
          <w:p w:rsidR="00CD6EF2" w:rsidRPr="00EB770C" w:rsidRDefault="00CD6EF2" w:rsidP="0094133F"/>
        </w:tc>
      </w:tr>
    </w:tbl>
    <w:p w:rsidR="007739D1" w:rsidRDefault="007739D1" w:rsidP="007739D1">
      <w:pPr>
        <w:spacing w:before="120"/>
        <w:jc w:val="both"/>
      </w:pPr>
    </w:p>
    <w:p w:rsidR="007739D1" w:rsidRPr="00EB770C" w:rsidRDefault="007739D1" w:rsidP="007739D1">
      <w:pPr>
        <w:spacing w:before="120"/>
        <w:jc w:val="both"/>
      </w:pPr>
    </w:p>
    <w:p w:rsidR="007739D1" w:rsidRPr="00EB770C" w:rsidRDefault="007739D1" w:rsidP="007739D1">
      <w:pPr>
        <w:spacing w:before="120"/>
      </w:pPr>
      <w:r w:rsidRPr="00EB770C">
        <w:rPr>
          <w:b/>
        </w:rPr>
        <w:t>Non-Specified Investments</w:t>
      </w:r>
      <w:r w:rsidRPr="00EB770C">
        <w:t xml:space="preserve"> – Non-specified investments are any other type of investment (i.e. not defined as Specified above).  The identification and rationale supporting the selection of these other investments and the maximum limits to be applied are set out below.  Overall non specified investments will not exceed more than 25% of the </w:t>
      </w:r>
      <w:r w:rsidR="009D0F1B">
        <w:t xml:space="preserve">previous </w:t>
      </w:r>
      <w:proofErr w:type="spellStart"/>
      <w:proofErr w:type="gramStart"/>
      <w:r w:rsidR="009D0F1B">
        <w:t>years</w:t>
      </w:r>
      <w:proofErr w:type="spellEnd"/>
      <w:proofErr w:type="gramEnd"/>
      <w:r w:rsidR="009D0F1B">
        <w:t xml:space="preserve"> </w:t>
      </w:r>
      <w:r w:rsidRPr="00EB770C">
        <w:t xml:space="preserve">investment portfolio. </w:t>
      </w:r>
      <w:r w:rsidR="009D0F1B">
        <w:t>If</w:t>
      </w:r>
      <w:r w:rsidRPr="00EB770C">
        <w:t xml:space="preserve"> the Council’s average investment balance increases </w:t>
      </w:r>
      <w:r w:rsidR="009D0F1B">
        <w:t xml:space="preserve">further </w:t>
      </w:r>
      <w:r w:rsidRPr="00EB770C">
        <w:t>over the medium term decisions will need to be made on the viability of undertaking additional non specified investments.  Non specified investments would include any sterling investments with:</w:t>
      </w:r>
    </w:p>
    <w:p w:rsidR="007739D1" w:rsidRPr="00EB770C" w:rsidRDefault="007739D1" w:rsidP="007739D1">
      <w:pPr>
        <w:spacing w:before="12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2234"/>
        <w:gridCol w:w="1817"/>
        <w:gridCol w:w="1956"/>
      </w:tblGrid>
      <w:tr w:rsidR="007739D1" w:rsidRPr="00EB770C" w:rsidTr="0094133F">
        <w:tc>
          <w:tcPr>
            <w:tcW w:w="3821" w:type="dxa"/>
            <w:shd w:val="clear" w:color="auto" w:fill="D9D9D9"/>
          </w:tcPr>
          <w:p w:rsidR="007739D1" w:rsidRPr="00EB770C" w:rsidRDefault="007739D1" w:rsidP="0094133F"/>
        </w:tc>
        <w:tc>
          <w:tcPr>
            <w:tcW w:w="2234" w:type="dxa"/>
            <w:shd w:val="clear" w:color="auto" w:fill="D9D9D9"/>
          </w:tcPr>
          <w:p w:rsidR="007739D1" w:rsidRPr="00EB770C" w:rsidRDefault="007739D1" w:rsidP="0094133F">
            <w:pPr>
              <w:jc w:val="center"/>
              <w:rPr>
                <w:b/>
              </w:rPr>
            </w:pPr>
            <w:r w:rsidRPr="00EB770C">
              <w:rPr>
                <w:b/>
              </w:rPr>
              <w:t>Minimum Credit Criteria</w:t>
            </w:r>
          </w:p>
        </w:tc>
        <w:tc>
          <w:tcPr>
            <w:tcW w:w="1817" w:type="dxa"/>
            <w:shd w:val="clear" w:color="auto" w:fill="D9D9D9"/>
          </w:tcPr>
          <w:p w:rsidR="007739D1" w:rsidRPr="00EB770C" w:rsidRDefault="007739D1" w:rsidP="0094133F">
            <w:pPr>
              <w:jc w:val="center"/>
              <w:rPr>
                <w:b/>
              </w:rPr>
            </w:pPr>
            <w:r w:rsidRPr="00EB770C">
              <w:rPr>
                <w:b/>
              </w:rPr>
              <w:t>Max % of total investments/£ limit per institution</w:t>
            </w:r>
          </w:p>
        </w:tc>
        <w:tc>
          <w:tcPr>
            <w:tcW w:w="1956" w:type="dxa"/>
            <w:shd w:val="clear" w:color="auto" w:fill="D9D9D9"/>
          </w:tcPr>
          <w:p w:rsidR="007739D1" w:rsidRPr="00EB770C" w:rsidRDefault="007739D1" w:rsidP="0094133F">
            <w:pPr>
              <w:jc w:val="center"/>
              <w:rPr>
                <w:b/>
              </w:rPr>
            </w:pPr>
            <w:r w:rsidRPr="00EB770C">
              <w:rPr>
                <w:b/>
              </w:rPr>
              <w:t>Max maturity period</w:t>
            </w:r>
          </w:p>
        </w:tc>
      </w:tr>
      <w:tr w:rsidR="007739D1" w:rsidRPr="00EB770C" w:rsidTr="0094133F">
        <w:tc>
          <w:tcPr>
            <w:tcW w:w="3821" w:type="dxa"/>
            <w:shd w:val="clear" w:color="auto" w:fill="auto"/>
          </w:tcPr>
          <w:p w:rsidR="007739D1" w:rsidRPr="00EB770C" w:rsidRDefault="007739D1" w:rsidP="0094133F">
            <w:pPr>
              <w:spacing w:before="120"/>
            </w:pPr>
            <w:r w:rsidRPr="00EB770C">
              <w:t xml:space="preserve">Local Authorities, Fire and Police </w:t>
            </w:r>
            <w:r>
              <w:t>A</w:t>
            </w:r>
            <w:r w:rsidRPr="00EB770C">
              <w:t xml:space="preserve">uthorities </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CF6A05" w:rsidRDefault="007739D1" w:rsidP="0094133F">
            <w:r w:rsidRPr="00CF6A05">
              <w:t xml:space="preserve">Up to </w:t>
            </w:r>
            <w:r>
              <w:t>2</w:t>
            </w:r>
            <w:r w:rsidRPr="00CF6A05">
              <w:t xml:space="preserve"> years</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tcPr>
          <w:p w:rsidR="007739D1" w:rsidRPr="00EB770C" w:rsidRDefault="007739D1" w:rsidP="0094133F">
            <w:r w:rsidRPr="00EB770C">
              <w:t>Orange</w:t>
            </w:r>
          </w:p>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variable rate and variable maturities</w:t>
            </w:r>
          </w:p>
        </w:tc>
        <w:tc>
          <w:tcPr>
            <w:tcW w:w="2234"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Yellow</w:t>
            </w:r>
          </w:p>
          <w:p w:rsidR="007739D1" w:rsidRPr="00EB770C" w:rsidRDefault="007739D1" w:rsidP="0094133F">
            <w:pPr>
              <w:numPr>
                <w:ilvl w:val="12"/>
                <w:numId w:val="0"/>
              </w:numPr>
              <w:tabs>
                <w:tab w:val="left" w:pos="360"/>
              </w:tabs>
              <w:rPr>
                <w:rFonts w:cs="Arial"/>
                <w:noProof/>
              </w:rPr>
            </w:pPr>
            <w:r w:rsidRPr="00EB770C">
              <w:rPr>
                <w:rFonts w:cs="Arial"/>
                <w:noProof/>
              </w:rPr>
              <w:t>Purple</w:t>
            </w:r>
          </w:p>
          <w:p w:rsidR="007739D1" w:rsidRPr="00EB770C" w:rsidRDefault="007739D1" w:rsidP="0094133F">
            <w:pPr>
              <w:numPr>
                <w:ilvl w:val="12"/>
                <w:numId w:val="0"/>
              </w:numPr>
              <w:tabs>
                <w:tab w:val="left" w:pos="360"/>
              </w:tabs>
            </w:pPr>
          </w:p>
        </w:tc>
        <w:tc>
          <w:tcPr>
            <w:tcW w:w="1817" w:type="dxa"/>
            <w:shd w:val="clear" w:color="auto" w:fill="auto"/>
            <w:vAlign w:val="center"/>
          </w:tcPr>
          <w:p w:rsidR="007739D1" w:rsidRPr="00EB770C" w:rsidRDefault="007739D1" w:rsidP="0094133F">
            <w:r w:rsidRPr="00EB770C">
              <w:rPr>
                <w:rFonts w:cs="Arial"/>
                <w:noProof/>
              </w:rPr>
              <w:t>£10m or 20% of total investments</w:t>
            </w:r>
          </w:p>
        </w:tc>
        <w:tc>
          <w:tcPr>
            <w:tcW w:w="1956" w:type="dxa"/>
            <w:shd w:val="clear" w:color="auto" w:fill="auto"/>
            <w:vAlign w:val="center"/>
          </w:tcPr>
          <w:p w:rsidR="007739D1" w:rsidRPr="00EB770C" w:rsidRDefault="007739D1" w:rsidP="0094133F">
            <w:pPr>
              <w:numPr>
                <w:ilvl w:val="12"/>
                <w:numId w:val="0"/>
              </w:numPr>
              <w:tabs>
                <w:tab w:val="left" w:pos="360"/>
              </w:tabs>
              <w:rPr>
                <w:rFonts w:cs="Arial"/>
                <w:noProof/>
              </w:rPr>
            </w:pPr>
            <w:r w:rsidRPr="00EB770C">
              <w:rPr>
                <w:rFonts w:cs="Arial"/>
                <w:noProof/>
              </w:rPr>
              <w:t>Up to 5 years</w:t>
            </w:r>
          </w:p>
          <w:p w:rsidR="007739D1" w:rsidRPr="00EB770C" w:rsidRDefault="007739D1" w:rsidP="0094133F">
            <w:pPr>
              <w:numPr>
                <w:ilvl w:val="12"/>
                <w:numId w:val="0"/>
              </w:numPr>
              <w:tabs>
                <w:tab w:val="left" w:pos="360"/>
              </w:tabs>
              <w:rPr>
                <w:rFonts w:cs="Arial"/>
                <w:noProof/>
              </w:rPr>
            </w:pPr>
            <w:r w:rsidRPr="00EB770C">
              <w:rPr>
                <w:rFonts w:cs="Arial"/>
                <w:noProof/>
              </w:rPr>
              <w:t>Up to 2 years</w:t>
            </w:r>
          </w:p>
          <w:p w:rsidR="007739D1" w:rsidRPr="00EB770C" w:rsidRDefault="007739D1" w:rsidP="0094133F">
            <w:pPr>
              <w:numPr>
                <w:ilvl w:val="12"/>
                <w:numId w:val="0"/>
              </w:numPr>
              <w:tabs>
                <w:tab w:val="left" w:pos="360"/>
              </w:tabs>
            </w:pPr>
          </w:p>
        </w:tc>
      </w:tr>
      <w:tr w:rsidR="007739D1" w:rsidRPr="00EB770C" w:rsidTr="0094133F">
        <w:tc>
          <w:tcPr>
            <w:tcW w:w="3821" w:type="dxa"/>
            <w:shd w:val="clear" w:color="auto" w:fill="auto"/>
          </w:tcPr>
          <w:p w:rsidR="007739D1" w:rsidRPr="00EB770C" w:rsidRDefault="007739D1" w:rsidP="0094133F">
            <w:r w:rsidRPr="00EB770C">
              <w:t>Commercial paper issuance covered by a specific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rsidRPr="00EB770C">
              <w:t>10%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Fixed term deposits with unrated Building Societies</w:t>
            </w:r>
          </w:p>
        </w:tc>
        <w:tc>
          <w:tcPr>
            <w:tcW w:w="2234" w:type="dxa"/>
            <w:shd w:val="clear" w:color="auto" w:fill="auto"/>
          </w:tcPr>
          <w:p w:rsidR="007739D1" w:rsidRPr="00EB770C" w:rsidRDefault="007739D1" w:rsidP="0094133F">
            <w:r w:rsidRPr="00EB770C">
              <w:t>Asset Base over £9bn</w:t>
            </w:r>
          </w:p>
        </w:tc>
        <w:tc>
          <w:tcPr>
            <w:tcW w:w="1817" w:type="dxa"/>
            <w:shd w:val="clear" w:color="auto" w:fill="auto"/>
          </w:tcPr>
          <w:p w:rsidR="007739D1" w:rsidRPr="00EB770C" w:rsidRDefault="007739D1" w:rsidP="0094133F">
            <w:r w:rsidRPr="00EB770C">
              <w:t>£3m – 20% of total investments</w:t>
            </w:r>
          </w:p>
        </w:tc>
        <w:tc>
          <w:tcPr>
            <w:tcW w:w="1956" w:type="dxa"/>
            <w:shd w:val="clear" w:color="auto" w:fill="auto"/>
          </w:tcPr>
          <w:p w:rsidR="007739D1" w:rsidRPr="00EB770C" w:rsidRDefault="007739D1" w:rsidP="0094133F">
            <w:r>
              <w:t>100 days</w:t>
            </w:r>
          </w:p>
        </w:tc>
      </w:tr>
      <w:tr w:rsidR="007739D1" w:rsidRPr="00EB770C" w:rsidTr="0094133F">
        <w:tc>
          <w:tcPr>
            <w:tcW w:w="3821" w:type="dxa"/>
            <w:shd w:val="clear" w:color="auto" w:fill="auto"/>
          </w:tcPr>
          <w:p w:rsidR="007739D1" w:rsidRPr="00EB770C" w:rsidRDefault="007739D1" w:rsidP="0094133F">
            <w:r w:rsidRPr="00EB770C">
              <w:t>Commercial paper other</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Corporate bonds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Other debt issuance by UK banks covered  by UK Government (explicit) guarantee</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Floating rate notes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Up</w:t>
            </w:r>
            <w:r>
              <w:t xml:space="preserve"> </w:t>
            </w:r>
            <w:r w:rsidRPr="00EB770C">
              <w:t>to 1 year</w:t>
            </w:r>
          </w:p>
        </w:tc>
      </w:tr>
      <w:tr w:rsidR="007739D1" w:rsidRPr="00EB770C" w:rsidTr="0094133F">
        <w:tc>
          <w:tcPr>
            <w:tcW w:w="3821" w:type="dxa"/>
            <w:shd w:val="clear" w:color="auto" w:fill="auto"/>
          </w:tcPr>
          <w:p w:rsidR="007739D1" w:rsidRPr="00EB770C" w:rsidRDefault="007739D1" w:rsidP="0094133F">
            <w:r w:rsidRPr="00EB770C">
              <w:t>Housing Associations</w:t>
            </w:r>
          </w:p>
        </w:tc>
        <w:tc>
          <w:tcPr>
            <w:tcW w:w="2234" w:type="dxa"/>
            <w:shd w:val="clear" w:color="auto" w:fill="auto"/>
          </w:tcPr>
          <w:p w:rsidR="007739D1" w:rsidRPr="00EB770C" w:rsidRDefault="007739D1" w:rsidP="0094133F"/>
        </w:tc>
        <w:tc>
          <w:tcPr>
            <w:tcW w:w="1817" w:type="dxa"/>
            <w:shd w:val="clear" w:color="auto" w:fill="auto"/>
          </w:tcPr>
          <w:p w:rsidR="007739D1" w:rsidRPr="00EB770C" w:rsidRDefault="007739D1" w:rsidP="0094133F">
            <w:r>
              <w:t>15</w:t>
            </w:r>
            <w:r w:rsidRPr="00EB770C">
              <w:t>% of total investments</w:t>
            </w:r>
          </w:p>
        </w:tc>
        <w:tc>
          <w:tcPr>
            <w:tcW w:w="1956" w:type="dxa"/>
            <w:shd w:val="clear" w:color="auto" w:fill="auto"/>
          </w:tcPr>
          <w:p w:rsidR="007739D1" w:rsidRPr="00EB770C" w:rsidRDefault="007739D1" w:rsidP="0094133F">
            <w:r w:rsidRPr="00EB770C">
              <w:t>Medium to long term</w:t>
            </w:r>
          </w:p>
        </w:tc>
      </w:tr>
      <w:tr w:rsidR="00BB6C40" w:rsidRPr="00EB770C" w:rsidTr="0094133F">
        <w:tc>
          <w:tcPr>
            <w:tcW w:w="3821" w:type="dxa"/>
            <w:shd w:val="clear" w:color="auto" w:fill="auto"/>
          </w:tcPr>
          <w:p w:rsidR="00BB6C40" w:rsidRPr="00EB770C" w:rsidRDefault="00BB6C40" w:rsidP="0094133F">
            <w:r w:rsidRPr="00EB770C">
              <w:t>Property fund</w:t>
            </w:r>
            <w:r>
              <w:t>s</w:t>
            </w:r>
          </w:p>
        </w:tc>
        <w:tc>
          <w:tcPr>
            <w:tcW w:w="2234" w:type="dxa"/>
            <w:shd w:val="clear" w:color="auto" w:fill="auto"/>
          </w:tcPr>
          <w:p w:rsidR="00BB6C40" w:rsidRPr="00EB770C" w:rsidRDefault="00BB6C40" w:rsidP="0094133F"/>
        </w:tc>
        <w:tc>
          <w:tcPr>
            <w:tcW w:w="1817" w:type="dxa"/>
            <w:shd w:val="clear" w:color="auto" w:fill="auto"/>
          </w:tcPr>
          <w:p w:rsidR="00BB6C40" w:rsidRPr="00EB770C" w:rsidRDefault="00AA28E0" w:rsidP="00344259">
            <w:r>
              <w:t>2</w:t>
            </w:r>
            <w:r w:rsidR="00344259">
              <w:t>5</w:t>
            </w:r>
            <w:r w:rsidR="00BB6C40" w:rsidRPr="00EB770C">
              <w:t>% of total investments</w:t>
            </w:r>
          </w:p>
        </w:tc>
        <w:tc>
          <w:tcPr>
            <w:tcW w:w="1956" w:type="dxa"/>
            <w:shd w:val="clear" w:color="auto" w:fill="auto"/>
          </w:tcPr>
          <w:p w:rsidR="00BB6C40" w:rsidRPr="00EB770C" w:rsidRDefault="00BB6C40" w:rsidP="0094133F">
            <w:r w:rsidRPr="00EB770C">
              <w:t>Medium to long term</w:t>
            </w:r>
          </w:p>
        </w:tc>
      </w:tr>
    </w:tbl>
    <w:p w:rsidR="007739D1" w:rsidRDefault="007739D1" w:rsidP="007739D1">
      <w:pPr>
        <w:rPr>
          <w:i/>
          <w:highlight w:val="yellow"/>
        </w:rPr>
      </w:pPr>
    </w:p>
    <w:p w:rsidR="007739D1" w:rsidRDefault="007739D1" w:rsidP="007739D1">
      <w:pPr>
        <w:pStyle w:val="BodyText"/>
        <w:jc w:val="left"/>
        <w:rPr>
          <w:rFonts w:ascii="Arial" w:hAnsi="Arial"/>
        </w:rPr>
      </w:pPr>
      <w:r w:rsidRPr="00EB770C">
        <w:rPr>
          <w:rFonts w:ascii="Arial" w:hAnsi="Arial"/>
          <w:b/>
        </w:rPr>
        <w:t>The Monitoring of Investment Counterparties</w:t>
      </w:r>
      <w:r w:rsidRPr="00EB770C">
        <w:rPr>
          <w:rFonts w:ascii="Arial" w:hAnsi="Arial"/>
        </w:rPr>
        <w:t xml:space="preserve"> - The Council receives credit rating information (changes, rating watches and rating outlooks) from Capita Asset Services </w:t>
      </w:r>
      <w:r w:rsidR="0096528B">
        <w:rPr>
          <w:rFonts w:ascii="Arial" w:hAnsi="Arial"/>
        </w:rPr>
        <w:t xml:space="preserve">– Treasury Solutions </w:t>
      </w:r>
      <w:r w:rsidRPr="00EB770C">
        <w:rPr>
          <w:rFonts w:ascii="Arial" w:hAnsi="Arial"/>
        </w:rPr>
        <w:t xml:space="preserve">on a weekly </w:t>
      </w:r>
      <w:proofErr w:type="gramStart"/>
      <w:r w:rsidRPr="00EB770C">
        <w:rPr>
          <w:rFonts w:ascii="Arial" w:hAnsi="Arial"/>
        </w:rPr>
        <w:t>basis,</w:t>
      </w:r>
      <w:proofErr w:type="gramEnd"/>
      <w:r w:rsidRPr="00EB770C">
        <w:rPr>
          <w:rFonts w:ascii="Arial" w:hAnsi="Arial"/>
        </w:rPr>
        <w:t xml:space="preserve"> and counterparties are checked promptly.  On occasion ratings may be downgraded when an investment has already been made.  The criteria used are such that a minor downgrading should not affect the full receipt of the principal and interest.  Any counterparty failing to meet </w:t>
      </w:r>
      <w:r>
        <w:rPr>
          <w:rFonts w:ascii="Arial" w:hAnsi="Arial"/>
        </w:rPr>
        <w:t xml:space="preserve">  </w:t>
      </w:r>
      <w:r w:rsidRPr="00EB770C">
        <w:rPr>
          <w:rFonts w:ascii="Arial" w:hAnsi="Arial"/>
        </w:rPr>
        <w:t xml:space="preserve">the criteria will be removed from the list immediately by the </w:t>
      </w:r>
      <w:r w:rsidR="00BB6C40">
        <w:rPr>
          <w:rFonts w:ascii="Arial" w:hAnsi="Arial"/>
        </w:rPr>
        <w:t>Section 151 Officer</w:t>
      </w:r>
      <w:r w:rsidRPr="00EB770C">
        <w:rPr>
          <w:rFonts w:ascii="Arial" w:hAnsi="Arial"/>
        </w:rPr>
        <w:t>, and if required new counterparties which meet the criteria will be added to the list.</w:t>
      </w:r>
    </w:p>
    <w:p w:rsidR="007739D1" w:rsidRDefault="007739D1" w:rsidP="007739D1">
      <w:pPr>
        <w:pStyle w:val="BodyText"/>
        <w:jc w:val="left"/>
        <w:rPr>
          <w:rFonts w:ascii="Arial" w:hAnsi="Arial"/>
        </w:rPr>
      </w:pPr>
      <w:r>
        <w:rPr>
          <w:rFonts w:ascii="Arial" w:hAnsi="Arial"/>
        </w:rPr>
        <w:br w:type="page"/>
      </w:r>
    </w:p>
    <w:p w:rsidR="007739D1" w:rsidRDefault="007739D1" w:rsidP="007739D1">
      <w:pPr>
        <w:pStyle w:val="BodyText"/>
        <w:jc w:val="left"/>
        <w:rPr>
          <w:rFonts w:ascii="Arial" w:hAnsi="Arial"/>
          <w:b/>
          <w:sz w:val="32"/>
          <w:szCs w:val="32"/>
        </w:rPr>
      </w:pP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r>
      <w:r>
        <w:rPr>
          <w:rFonts w:ascii="Arial" w:hAnsi="Arial"/>
          <w:b/>
          <w:sz w:val="32"/>
          <w:szCs w:val="32"/>
        </w:rPr>
        <w:tab/>
        <w:t>APPENDIX 2</w:t>
      </w:r>
    </w:p>
    <w:p w:rsidR="007739D1" w:rsidRDefault="007739D1" w:rsidP="007739D1">
      <w:pPr>
        <w:pStyle w:val="BodyText"/>
        <w:jc w:val="left"/>
        <w:rPr>
          <w:rFonts w:ascii="Arial" w:hAnsi="Arial"/>
          <w:b/>
          <w:sz w:val="32"/>
          <w:szCs w:val="32"/>
        </w:rPr>
      </w:pPr>
    </w:p>
    <w:p w:rsidR="007739D1" w:rsidRPr="006F2A35" w:rsidRDefault="007739D1" w:rsidP="007739D1">
      <w:pPr>
        <w:pStyle w:val="BodyText"/>
        <w:jc w:val="center"/>
        <w:rPr>
          <w:rFonts w:ascii="Arial" w:hAnsi="Arial"/>
          <w:b/>
          <w:sz w:val="32"/>
          <w:szCs w:val="32"/>
        </w:rPr>
      </w:pPr>
      <w:r w:rsidRPr="006F2A35">
        <w:rPr>
          <w:rFonts w:ascii="Arial" w:hAnsi="Arial"/>
          <w:b/>
          <w:sz w:val="32"/>
          <w:szCs w:val="32"/>
        </w:rPr>
        <w:t>Prudential Indicators</w:t>
      </w:r>
    </w:p>
    <w:p w:rsidR="007739D1" w:rsidRDefault="007739D1" w:rsidP="007739D1">
      <w:pPr>
        <w:pStyle w:val="BodyText"/>
        <w:jc w:val="left"/>
        <w:rPr>
          <w:rFonts w:ascii="Arial" w:hAnsi="Arial"/>
          <w:b/>
        </w:rPr>
      </w:pPr>
    </w:p>
    <w:p w:rsidR="007739D1" w:rsidRPr="005C3C34" w:rsidRDefault="007739D1" w:rsidP="007739D1">
      <w:pPr>
        <w:pStyle w:val="BodyText"/>
        <w:jc w:val="left"/>
        <w:rPr>
          <w:rFonts w:ascii="Arial" w:hAnsi="Arial"/>
          <w:b/>
        </w:rPr>
      </w:pPr>
    </w:p>
    <w:p w:rsidR="007739D1" w:rsidRPr="00305C70" w:rsidRDefault="007739D1" w:rsidP="007739D1">
      <w:pPr>
        <w:rPr>
          <w:b/>
          <w:u w:val="single"/>
        </w:rPr>
      </w:pPr>
      <w:r>
        <w:rPr>
          <w:b/>
          <w:u w:val="single"/>
        </w:rPr>
        <w:t>Prudence</w:t>
      </w:r>
    </w:p>
    <w:p w:rsidR="007739D1" w:rsidRPr="00552109" w:rsidRDefault="007739D1" w:rsidP="007739D1">
      <w:pPr>
        <w:pStyle w:val="Heading1"/>
        <w:ind w:left="360" w:hanging="360"/>
      </w:pPr>
      <w:r w:rsidRPr="00552109">
        <w:t>A.</w:t>
      </w:r>
      <w:r w:rsidRPr="00552109">
        <w:tab/>
        <w:t xml:space="preserve">Capital Expenditure Plans </w:t>
      </w:r>
    </w:p>
    <w:p w:rsidR="007739D1" w:rsidRPr="00552109" w:rsidRDefault="007739D1" w:rsidP="007739D1">
      <w:pPr>
        <w:numPr>
          <w:ilvl w:val="0"/>
          <w:numId w:val="12"/>
        </w:numPr>
      </w:pPr>
      <w:r w:rsidRPr="00552109">
        <w:t>The Council’s capital expenditure plans are the key driver of treasury management activity.  Estimates of capital expen</w:t>
      </w:r>
      <w:r>
        <w:t>diture for the period 201</w:t>
      </w:r>
      <w:r w:rsidR="00FA6715">
        <w:t>5</w:t>
      </w:r>
      <w:r>
        <w:t>/1</w:t>
      </w:r>
      <w:r w:rsidR="00FA6715">
        <w:t>6</w:t>
      </w:r>
      <w:r>
        <w:t xml:space="preserve"> to 201</w:t>
      </w:r>
      <w:r w:rsidR="00394726">
        <w:t>7</w:t>
      </w:r>
      <w:r>
        <w:t>/1</w:t>
      </w:r>
      <w:r w:rsidR="00394726">
        <w:t>8</w:t>
      </w:r>
      <w:r w:rsidRPr="00552109">
        <w:t xml:space="preserve"> are summarised below and this forms the first of the prudential indicators.  The revenue consequences of associated borrowing and any on-going maintenance costs are accommodated within the Council’s revenue budgets.</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Capital expenditure can be paid for immediately, by applying capital resources such as capital receipts, capital grants, external funding or revenue contributions, but if these resources are insufficient any residual expenditure will </w:t>
      </w:r>
      <w:r>
        <w:t xml:space="preserve">be undertaken by Prudential Borrowing and will </w:t>
      </w:r>
      <w:r w:rsidRPr="00552109">
        <w:t>add to the Council’s borrowing need, or Capital Financing Requirement (CFR).</w:t>
      </w:r>
    </w:p>
    <w:p w:rsidR="007739D1" w:rsidRPr="00552109" w:rsidRDefault="007739D1" w:rsidP="007739D1">
      <w:pPr>
        <w:ind w:left="360" w:hanging="360"/>
      </w:pPr>
    </w:p>
    <w:p w:rsidR="007739D1" w:rsidRPr="00552109" w:rsidRDefault="007739D1" w:rsidP="007739D1">
      <w:pPr>
        <w:numPr>
          <w:ilvl w:val="0"/>
          <w:numId w:val="12"/>
        </w:numPr>
      </w:pPr>
      <w:r w:rsidRPr="00552109">
        <w:t xml:space="preserve">Estimates of resources such as capital receipts may be subject to uncertainty i.e. anticipated asset sales may be postponed or reduced due to </w:t>
      </w:r>
      <w:r w:rsidR="00FA6715">
        <w:t xml:space="preserve">changes in </w:t>
      </w:r>
      <w:r w:rsidRPr="00552109">
        <w:t>the property market or planning issues.</w:t>
      </w:r>
    </w:p>
    <w:p w:rsidR="007739D1" w:rsidRPr="00552109" w:rsidRDefault="007739D1" w:rsidP="007739D1"/>
    <w:p w:rsidR="007739D1" w:rsidRPr="00552109" w:rsidRDefault="007739D1" w:rsidP="007739D1">
      <w:pPr>
        <w:numPr>
          <w:ilvl w:val="0"/>
          <w:numId w:val="12"/>
        </w:numPr>
      </w:pPr>
      <w:r w:rsidRPr="00552109">
        <w:t xml:space="preserve">Elsewhere on the agenda the </w:t>
      </w:r>
      <w:r w:rsidR="00336A88">
        <w:t>draft</w:t>
      </w:r>
      <w:r w:rsidRPr="00552109">
        <w:t xml:space="preserve"> Capital Programme is recommended for approval, a summary of these figures is in the table below</w:t>
      </w:r>
      <w:r>
        <w:t xml:space="preserve">, showing the capital expenditure and how it will be financed.  Any shortfall of financing results in a borrowing need.  </w:t>
      </w:r>
    </w:p>
    <w:p w:rsidR="007739D1" w:rsidRPr="00896028" w:rsidRDefault="007739D1" w:rsidP="007739D1">
      <w:pPr>
        <w:rPr>
          <w:color w:val="FF0000"/>
          <w:highlight w:val="yellow"/>
        </w:rPr>
      </w:pPr>
    </w:p>
    <w:p w:rsidR="007739D1" w:rsidRDefault="007739D1" w:rsidP="007739D1">
      <w:pPr>
        <w:rPr>
          <w:b/>
        </w:rPr>
      </w:pPr>
      <w:r>
        <w:rPr>
          <w:b/>
        </w:rPr>
        <w:t xml:space="preserve">Table </w:t>
      </w:r>
      <w:r w:rsidR="00C65CC1">
        <w:rPr>
          <w:b/>
        </w:rPr>
        <w:t>1</w:t>
      </w:r>
      <w:r w:rsidRPr="002853B7">
        <w:rPr>
          <w:b/>
        </w:rPr>
        <w:t>:-Capital Expenditure and Financing</w:t>
      </w:r>
      <w:r>
        <w:rPr>
          <w:b/>
        </w:rPr>
        <w:t xml:space="preserve"> </w:t>
      </w:r>
    </w:p>
    <w:p w:rsidR="004B249B" w:rsidRDefault="004B249B" w:rsidP="007739D1">
      <w:pPr>
        <w:rPr>
          <w:b/>
        </w:rPr>
      </w:pPr>
    </w:p>
    <w:tbl>
      <w:tblPr>
        <w:tblStyle w:val="TableGrid"/>
        <w:tblW w:w="8621" w:type="dxa"/>
        <w:tblLook w:val="04A0" w:firstRow="1" w:lastRow="0" w:firstColumn="1" w:lastColumn="0" w:noHBand="0" w:noVBand="1"/>
      </w:tblPr>
      <w:tblGrid>
        <w:gridCol w:w="2897"/>
        <w:gridCol w:w="1073"/>
        <w:gridCol w:w="1134"/>
        <w:gridCol w:w="1249"/>
        <w:gridCol w:w="1134"/>
        <w:gridCol w:w="1134"/>
      </w:tblGrid>
      <w:tr w:rsidR="004B249B" w:rsidTr="004B249B">
        <w:tc>
          <w:tcPr>
            <w:tcW w:w="3085" w:type="dxa"/>
          </w:tcPr>
          <w:p w:rsidR="004B249B" w:rsidRPr="004B249B" w:rsidRDefault="004B249B" w:rsidP="007739D1">
            <w:pPr>
              <w:rPr>
                <w:sz w:val="22"/>
                <w:szCs w:val="22"/>
              </w:rPr>
            </w:pPr>
          </w:p>
        </w:tc>
        <w:tc>
          <w:tcPr>
            <w:tcW w:w="1022" w:type="dxa"/>
          </w:tcPr>
          <w:p w:rsidR="004B249B" w:rsidRPr="004B249B" w:rsidRDefault="004B249B" w:rsidP="004B249B">
            <w:pPr>
              <w:jc w:val="center"/>
              <w:rPr>
                <w:b/>
                <w:sz w:val="22"/>
                <w:szCs w:val="22"/>
              </w:rPr>
            </w:pPr>
            <w:r w:rsidRPr="004B249B">
              <w:rPr>
                <w:b/>
                <w:sz w:val="22"/>
                <w:szCs w:val="22"/>
              </w:rPr>
              <w:t>2013/14 Actual £000’s</w:t>
            </w:r>
          </w:p>
        </w:tc>
        <w:tc>
          <w:tcPr>
            <w:tcW w:w="1072" w:type="dxa"/>
          </w:tcPr>
          <w:p w:rsidR="004B249B" w:rsidRPr="004B249B" w:rsidRDefault="004B249B" w:rsidP="004B249B">
            <w:pPr>
              <w:jc w:val="center"/>
              <w:rPr>
                <w:b/>
                <w:sz w:val="22"/>
                <w:szCs w:val="22"/>
              </w:rPr>
            </w:pPr>
            <w:r w:rsidRPr="004B249B">
              <w:rPr>
                <w:b/>
                <w:sz w:val="22"/>
                <w:szCs w:val="22"/>
              </w:rPr>
              <w:t>2014/15 Estimate £000’s</w:t>
            </w:r>
          </w:p>
        </w:tc>
        <w:tc>
          <w:tcPr>
            <w:tcW w:w="1265" w:type="dxa"/>
          </w:tcPr>
          <w:p w:rsidR="004B249B" w:rsidRPr="004B249B" w:rsidRDefault="004B249B" w:rsidP="004B249B">
            <w:pPr>
              <w:jc w:val="center"/>
              <w:rPr>
                <w:b/>
                <w:sz w:val="22"/>
                <w:szCs w:val="22"/>
              </w:rPr>
            </w:pPr>
            <w:r w:rsidRPr="004B249B">
              <w:rPr>
                <w:b/>
                <w:sz w:val="22"/>
                <w:szCs w:val="22"/>
              </w:rPr>
              <w:t>2015/16 Estimate £000’s</w:t>
            </w:r>
          </w:p>
        </w:tc>
        <w:tc>
          <w:tcPr>
            <w:tcW w:w="1105" w:type="dxa"/>
          </w:tcPr>
          <w:p w:rsidR="004B249B" w:rsidRPr="004B249B" w:rsidRDefault="004B249B" w:rsidP="004B249B">
            <w:pPr>
              <w:jc w:val="center"/>
              <w:rPr>
                <w:b/>
                <w:sz w:val="22"/>
                <w:szCs w:val="22"/>
              </w:rPr>
            </w:pPr>
            <w:r w:rsidRPr="004B249B">
              <w:rPr>
                <w:b/>
                <w:sz w:val="22"/>
                <w:szCs w:val="22"/>
              </w:rPr>
              <w:t>2016/17 Estimate £000’s</w:t>
            </w:r>
          </w:p>
        </w:tc>
        <w:tc>
          <w:tcPr>
            <w:tcW w:w="1072" w:type="dxa"/>
          </w:tcPr>
          <w:p w:rsidR="004B249B" w:rsidRPr="004B249B" w:rsidRDefault="004B249B" w:rsidP="004B249B">
            <w:pPr>
              <w:jc w:val="center"/>
              <w:rPr>
                <w:b/>
                <w:sz w:val="22"/>
                <w:szCs w:val="22"/>
              </w:rPr>
            </w:pPr>
            <w:r w:rsidRPr="004B249B">
              <w:rPr>
                <w:b/>
                <w:sz w:val="22"/>
                <w:szCs w:val="22"/>
              </w:rPr>
              <w:t>2017/18 Estimate £000’s</w:t>
            </w:r>
          </w:p>
        </w:tc>
      </w:tr>
      <w:tr w:rsidR="004B249B" w:rsidTr="004B249B">
        <w:tc>
          <w:tcPr>
            <w:tcW w:w="3085" w:type="dxa"/>
          </w:tcPr>
          <w:p w:rsidR="004B249B" w:rsidRPr="004B249B" w:rsidRDefault="004B249B" w:rsidP="007739D1">
            <w:pPr>
              <w:rPr>
                <w:b/>
                <w:sz w:val="22"/>
                <w:szCs w:val="22"/>
              </w:rPr>
            </w:pPr>
            <w:r w:rsidRPr="004B249B">
              <w:rPr>
                <w:b/>
                <w:sz w:val="22"/>
                <w:szCs w:val="22"/>
              </w:rPr>
              <w:t>Expenditure</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7739D1">
            <w:pPr>
              <w:rPr>
                <w:sz w:val="22"/>
                <w:szCs w:val="22"/>
              </w:rPr>
            </w:pPr>
            <w:r w:rsidRPr="004B249B">
              <w:rPr>
                <w:sz w:val="22"/>
                <w:szCs w:val="22"/>
              </w:rPr>
              <w:t>General Fund</w:t>
            </w:r>
          </w:p>
        </w:tc>
        <w:tc>
          <w:tcPr>
            <w:tcW w:w="1022" w:type="dxa"/>
          </w:tcPr>
          <w:p w:rsidR="004B249B" w:rsidRPr="004B249B" w:rsidRDefault="004B249B" w:rsidP="004B249B">
            <w:pPr>
              <w:jc w:val="right"/>
              <w:rPr>
                <w:sz w:val="22"/>
                <w:szCs w:val="22"/>
              </w:rPr>
            </w:pPr>
            <w:r>
              <w:rPr>
                <w:sz w:val="22"/>
                <w:szCs w:val="22"/>
              </w:rPr>
              <w:t>11,121.0</w:t>
            </w:r>
          </w:p>
        </w:tc>
        <w:tc>
          <w:tcPr>
            <w:tcW w:w="1072" w:type="dxa"/>
          </w:tcPr>
          <w:p w:rsidR="004B249B" w:rsidRPr="004B249B" w:rsidRDefault="004B249B" w:rsidP="004B249B">
            <w:pPr>
              <w:jc w:val="right"/>
              <w:rPr>
                <w:sz w:val="22"/>
                <w:szCs w:val="22"/>
              </w:rPr>
            </w:pPr>
            <w:r>
              <w:rPr>
                <w:sz w:val="22"/>
                <w:szCs w:val="22"/>
              </w:rPr>
              <w:t>30,519.3</w:t>
            </w:r>
          </w:p>
        </w:tc>
        <w:tc>
          <w:tcPr>
            <w:tcW w:w="1265" w:type="dxa"/>
          </w:tcPr>
          <w:p w:rsidR="004B249B" w:rsidRPr="004B249B" w:rsidRDefault="004B249B" w:rsidP="004B249B">
            <w:pPr>
              <w:jc w:val="right"/>
              <w:rPr>
                <w:sz w:val="22"/>
                <w:szCs w:val="22"/>
              </w:rPr>
            </w:pPr>
            <w:r>
              <w:rPr>
                <w:sz w:val="22"/>
                <w:szCs w:val="22"/>
              </w:rPr>
              <w:t>15,820.2</w:t>
            </w:r>
          </w:p>
        </w:tc>
        <w:tc>
          <w:tcPr>
            <w:tcW w:w="1105" w:type="dxa"/>
          </w:tcPr>
          <w:p w:rsidR="004B249B" w:rsidRPr="004B249B" w:rsidRDefault="004B249B" w:rsidP="004B249B">
            <w:pPr>
              <w:jc w:val="right"/>
              <w:rPr>
                <w:sz w:val="22"/>
                <w:szCs w:val="22"/>
              </w:rPr>
            </w:pPr>
            <w:r>
              <w:rPr>
                <w:sz w:val="22"/>
                <w:szCs w:val="22"/>
              </w:rPr>
              <w:t>8,059.3</w:t>
            </w:r>
          </w:p>
        </w:tc>
        <w:tc>
          <w:tcPr>
            <w:tcW w:w="1072" w:type="dxa"/>
          </w:tcPr>
          <w:p w:rsidR="004B249B" w:rsidRPr="004B249B" w:rsidRDefault="004B249B" w:rsidP="004B249B">
            <w:pPr>
              <w:jc w:val="right"/>
              <w:rPr>
                <w:sz w:val="22"/>
                <w:szCs w:val="22"/>
              </w:rPr>
            </w:pPr>
            <w:r>
              <w:rPr>
                <w:sz w:val="22"/>
                <w:szCs w:val="22"/>
              </w:rPr>
              <w:t>5,371.0</w:t>
            </w:r>
          </w:p>
        </w:tc>
      </w:tr>
      <w:tr w:rsidR="004B249B" w:rsidTr="004B249B">
        <w:tc>
          <w:tcPr>
            <w:tcW w:w="3085" w:type="dxa"/>
          </w:tcPr>
          <w:p w:rsidR="004B249B" w:rsidRPr="004B249B" w:rsidRDefault="004B249B" w:rsidP="007739D1">
            <w:pPr>
              <w:rPr>
                <w:sz w:val="22"/>
                <w:szCs w:val="22"/>
              </w:rPr>
            </w:pPr>
            <w:r w:rsidRPr="004B249B">
              <w:rPr>
                <w:sz w:val="22"/>
                <w:szCs w:val="22"/>
              </w:rPr>
              <w:t>HRA</w:t>
            </w:r>
          </w:p>
        </w:tc>
        <w:tc>
          <w:tcPr>
            <w:tcW w:w="1022" w:type="dxa"/>
          </w:tcPr>
          <w:p w:rsidR="004B249B" w:rsidRPr="004B249B" w:rsidRDefault="004B249B" w:rsidP="004B249B">
            <w:pPr>
              <w:jc w:val="right"/>
              <w:rPr>
                <w:sz w:val="22"/>
                <w:szCs w:val="22"/>
              </w:rPr>
            </w:pPr>
            <w:r>
              <w:rPr>
                <w:sz w:val="22"/>
                <w:szCs w:val="22"/>
              </w:rPr>
              <w:t>10,882.0</w:t>
            </w:r>
          </w:p>
        </w:tc>
        <w:tc>
          <w:tcPr>
            <w:tcW w:w="1072" w:type="dxa"/>
          </w:tcPr>
          <w:p w:rsidR="004B249B" w:rsidRPr="004B249B" w:rsidRDefault="004B249B" w:rsidP="004B249B">
            <w:pPr>
              <w:jc w:val="right"/>
              <w:rPr>
                <w:sz w:val="22"/>
                <w:szCs w:val="22"/>
              </w:rPr>
            </w:pPr>
            <w:r>
              <w:rPr>
                <w:sz w:val="22"/>
                <w:szCs w:val="22"/>
              </w:rPr>
              <w:t>28,309.1</w:t>
            </w:r>
          </w:p>
        </w:tc>
        <w:tc>
          <w:tcPr>
            <w:tcW w:w="1265" w:type="dxa"/>
          </w:tcPr>
          <w:p w:rsidR="004B249B" w:rsidRPr="004B249B" w:rsidRDefault="004B249B" w:rsidP="004B249B">
            <w:pPr>
              <w:jc w:val="right"/>
              <w:rPr>
                <w:sz w:val="22"/>
                <w:szCs w:val="22"/>
              </w:rPr>
            </w:pPr>
            <w:r>
              <w:rPr>
                <w:sz w:val="22"/>
                <w:szCs w:val="22"/>
              </w:rPr>
              <w:t>21,047.3</w:t>
            </w:r>
          </w:p>
        </w:tc>
        <w:tc>
          <w:tcPr>
            <w:tcW w:w="1105" w:type="dxa"/>
          </w:tcPr>
          <w:p w:rsidR="004B249B" w:rsidRPr="004B249B" w:rsidRDefault="004B249B" w:rsidP="004B249B">
            <w:pPr>
              <w:jc w:val="right"/>
              <w:rPr>
                <w:sz w:val="22"/>
                <w:szCs w:val="22"/>
              </w:rPr>
            </w:pPr>
            <w:r>
              <w:rPr>
                <w:sz w:val="22"/>
                <w:szCs w:val="22"/>
              </w:rPr>
              <w:t>32,339.4</w:t>
            </w:r>
          </w:p>
        </w:tc>
        <w:tc>
          <w:tcPr>
            <w:tcW w:w="1072" w:type="dxa"/>
          </w:tcPr>
          <w:p w:rsidR="004B249B" w:rsidRPr="004B249B" w:rsidRDefault="004B249B" w:rsidP="004B249B">
            <w:pPr>
              <w:jc w:val="right"/>
              <w:rPr>
                <w:sz w:val="22"/>
                <w:szCs w:val="22"/>
              </w:rPr>
            </w:pPr>
            <w:r>
              <w:rPr>
                <w:sz w:val="22"/>
                <w:szCs w:val="22"/>
              </w:rPr>
              <w:t>35,947.4</w:t>
            </w:r>
          </w:p>
        </w:tc>
      </w:tr>
      <w:tr w:rsidR="004B249B" w:rsidTr="004B249B">
        <w:tc>
          <w:tcPr>
            <w:tcW w:w="3085" w:type="dxa"/>
          </w:tcPr>
          <w:p w:rsidR="004B249B" w:rsidRPr="004B249B" w:rsidRDefault="004B249B" w:rsidP="007739D1">
            <w:pPr>
              <w:rPr>
                <w:b/>
                <w:sz w:val="22"/>
                <w:szCs w:val="22"/>
              </w:rPr>
            </w:pPr>
            <w:r w:rsidRPr="004B249B">
              <w:rPr>
                <w:b/>
                <w:sz w:val="22"/>
                <w:szCs w:val="22"/>
              </w:rPr>
              <w:t>Total expenditure</w:t>
            </w:r>
          </w:p>
        </w:tc>
        <w:tc>
          <w:tcPr>
            <w:tcW w:w="1022" w:type="dxa"/>
          </w:tcPr>
          <w:p w:rsidR="004B249B" w:rsidRPr="004B249B" w:rsidRDefault="004B249B" w:rsidP="004B249B">
            <w:pPr>
              <w:jc w:val="right"/>
              <w:rPr>
                <w:b/>
                <w:sz w:val="22"/>
                <w:szCs w:val="22"/>
              </w:rPr>
            </w:pPr>
            <w:r>
              <w:rPr>
                <w:b/>
                <w:sz w:val="22"/>
                <w:szCs w:val="22"/>
              </w:rPr>
              <w:t>22,003.0</w:t>
            </w:r>
          </w:p>
        </w:tc>
        <w:tc>
          <w:tcPr>
            <w:tcW w:w="1072" w:type="dxa"/>
          </w:tcPr>
          <w:p w:rsidR="004B249B" w:rsidRPr="004B249B" w:rsidRDefault="004B249B" w:rsidP="004B249B">
            <w:pPr>
              <w:jc w:val="right"/>
              <w:rPr>
                <w:b/>
                <w:sz w:val="22"/>
                <w:szCs w:val="22"/>
              </w:rPr>
            </w:pPr>
            <w:r>
              <w:rPr>
                <w:b/>
                <w:sz w:val="22"/>
                <w:szCs w:val="22"/>
              </w:rPr>
              <w:t>58,828.4</w:t>
            </w:r>
          </w:p>
        </w:tc>
        <w:tc>
          <w:tcPr>
            <w:tcW w:w="1265" w:type="dxa"/>
          </w:tcPr>
          <w:p w:rsidR="004B249B" w:rsidRPr="004B249B" w:rsidRDefault="004B249B" w:rsidP="004B249B">
            <w:pPr>
              <w:jc w:val="right"/>
              <w:rPr>
                <w:b/>
                <w:sz w:val="22"/>
                <w:szCs w:val="22"/>
              </w:rPr>
            </w:pPr>
            <w:r>
              <w:rPr>
                <w:b/>
                <w:sz w:val="22"/>
                <w:szCs w:val="22"/>
              </w:rPr>
              <w:t>36,867.5</w:t>
            </w:r>
          </w:p>
        </w:tc>
        <w:tc>
          <w:tcPr>
            <w:tcW w:w="1105" w:type="dxa"/>
          </w:tcPr>
          <w:p w:rsidR="004B249B" w:rsidRPr="004B249B" w:rsidRDefault="004B249B" w:rsidP="004B249B">
            <w:pPr>
              <w:jc w:val="right"/>
              <w:rPr>
                <w:b/>
                <w:sz w:val="22"/>
                <w:szCs w:val="22"/>
              </w:rPr>
            </w:pPr>
            <w:r>
              <w:rPr>
                <w:b/>
                <w:sz w:val="22"/>
                <w:szCs w:val="22"/>
              </w:rPr>
              <w:t>40,398.7</w:t>
            </w:r>
          </w:p>
        </w:tc>
        <w:tc>
          <w:tcPr>
            <w:tcW w:w="1072" w:type="dxa"/>
          </w:tcPr>
          <w:p w:rsidR="004B249B" w:rsidRPr="004B249B" w:rsidRDefault="004B249B" w:rsidP="004B249B">
            <w:pPr>
              <w:jc w:val="right"/>
              <w:rPr>
                <w:b/>
                <w:sz w:val="22"/>
                <w:szCs w:val="22"/>
              </w:rPr>
            </w:pPr>
            <w:r>
              <w:rPr>
                <w:b/>
                <w:sz w:val="22"/>
                <w:szCs w:val="22"/>
              </w:rPr>
              <w:t>41,318.4</w:t>
            </w:r>
          </w:p>
        </w:tc>
      </w:tr>
      <w:tr w:rsidR="004B249B" w:rsidTr="004B249B">
        <w:tc>
          <w:tcPr>
            <w:tcW w:w="3085" w:type="dxa"/>
          </w:tcPr>
          <w:p w:rsidR="004B249B" w:rsidRPr="004B249B" w:rsidRDefault="004B249B" w:rsidP="007739D1">
            <w:pPr>
              <w:rPr>
                <w:b/>
                <w:sz w:val="22"/>
                <w:szCs w:val="22"/>
              </w:rPr>
            </w:pPr>
            <w:r w:rsidRPr="004B249B">
              <w:rPr>
                <w:b/>
                <w:sz w:val="22"/>
                <w:szCs w:val="22"/>
              </w:rPr>
              <w:t>Finance by:</w:t>
            </w:r>
          </w:p>
        </w:tc>
        <w:tc>
          <w:tcPr>
            <w:tcW w:w="1022"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c>
          <w:tcPr>
            <w:tcW w:w="1265" w:type="dxa"/>
          </w:tcPr>
          <w:p w:rsidR="004B249B" w:rsidRPr="004B249B" w:rsidRDefault="004B249B" w:rsidP="004B249B">
            <w:pPr>
              <w:jc w:val="right"/>
              <w:rPr>
                <w:sz w:val="22"/>
                <w:szCs w:val="22"/>
              </w:rPr>
            </w:pPr>
          </w:p>
        </w:tc>
        <w:tc>
          <w:tcPr>
            <w:tcW w:w="1105" w:type="dxa"/>
          </w:tcPr>
          <w:p w:rsidR="004B249B" w:rsidRPr="004B249B" w:rsidRDefault="004B249B" w:rsidP="004B249B">
            <w:pPr>
              <w:jc w:val="right"/>
              <w:rPr>
                <w:sz w:val="22"/>
                <w:szCs w:val="22"/>
              </w:rPr>
            </w:pPr>
          </w:p>
        </w:tc>
        <w:tc>
          <w:tcPr>
            <w:tcW w:w="1072" w:type="dxa"/>
          </w:tcPr>
          <w:p w:rsidR="004B249B" w:rsidRPr="004B249B" w:rsidRDefault="004B249B" w:rsidP="004B249B">
            <w:pPr>
              <w:jc w:val="right"/>
              <w:rPr>
                <w:sz w:val="22"/>
                <w:szCs w:val="22"/>
              </w:rPr>
            </w:pPr>
          </w:p>
        </w:tc>
      </w:tr>
      <w:tr w:rsidR="004B249B" w:rsidTr="004B249B">
        <w:tc>
          <w:tcPr>
            <w:tcW w:w="3085" w:type="dxa"/>
          </w:tcPr>
          <w:p w:rsidR="004B249B" w:rsidRPr="004B249B" w:rsidRDefault="004B249B" w:rsidP="004B249B">
            <w:pPr>
              <w:rPr>
                <w:sz w:val="22"/>
                <w:szCs w:val="22"/>
              </w:rPr>
            </w:pPr>
            <w:r>
              <w:rPr>
                <w:sz w:val="22"/>
                <w:szCs w:val="22"/>
              </w:rPr>
              <w:t>Developer Contributions</w:t>
            </w:r>
          </w:p>
        </w:tc>
        <w:tc>
          <w:tcPr>
            <w:tcW w:w="1022" w:type="dxa"/>
          </w:tcPr>
          <w:p w:rsidR="004B249B" w:rsidRPr="004B249B" w:rsidRDefault="004B249B" w:rsidP="004B249B">
            <w:pPr>
              <w:jc w:val="right"/>
              <w:rPr>
                <w:sz w:val="22"/>
                <w:szCs w:val="22"/>
              </w:rPr>
            </w:pPr>
            <w:r>
              <w:rPr>
                <w:sz w:val="22"/>
                <w:szCs w:val="22"/>
              </w:rPr>
              <w:t>470.0</w:t>
            </w:r>
          </w:p>
        </w:tc>
        <w:tc>
          <w:tcPr>
            <w:tcW w:w="1072" w:type="dxa"/>
          </w:tcPr>
          <w:p w:rsidR="004B249B" w:rsidRPr="004B249B" w:rsidRDefault="004B249B" w:rsidP="004B249B">
            <w:pPr>
              <w:jc w:val="right"/>
              <w:rPr>
                <w:sz w:val="22"/>
                <w:szCs w:val="22"/>
              </w:rPr>
            </w:pPr>
            <w:r>
              <w:rPr>
                <w:sz w:val="22"/>
                <w:szCs w:val="22"/>
              </w:rPr>
              <w:t>1,229.6</w:t>
            </w:r>
          </w:p>
        </w:tc>
        <w:tc>
          <w:tcPr>
            <w:tcW w:w="1265" w:type="dxa"/>
          </w:tcPr>
          <w:p w:rsidR="004B249B" w:rsidRPr="004B249B" w:rsidRDefault="004B249B" w:rsidP="004B249B">
            <w:pPr>
              <w:jc w:val="right"/>
              <w:rPr>
                <w:sz w:val="22"/>
                <w:szCs w:val="22"/>
              </w:rPr>
            </w:pPr>
            <w:r>
              <w:rPr>
                <w:sz w:val="22"/>
                <w:szCs w:val="22"/>
              </w:rPr>
              <w:t>2,544.2</w:t>
            </w:r>
          </w:p>
        </w:tc>
        <w:tc>
          <w:tcPr>
            <w:tcW w:w="1105" w:type="dxa"/>
          </w:tcPr>
          <w:p w:rsidR="004B249B" w:rsidRPr="004B249B" w:rsidRDefault="004B249B" w:rsidP="004B249B">
            <w:pPr>
              <w:jc w:val="right"/>
              <w:rPr>
                <w:sz w:val="22"/>
                <w:szCs w:val="22"/>
              </w:rPr>
            </w:pPr>
            <w:r>
              <w:rPr>
                <w:sz w:val="22"/>
                <w:szCs w:val="22"/>
              </w:rPr>
              <w:t>3,000.0</w:t>
            </w:r>
          </w:p>
        </w:tc>
        <w:tc>
          <w:tcPr>
            <w:tcW w:w="1072" w:type="dxa"/>
          </w:tcPr>
          <w:p w:rsidR="004B249B" w:rsidRPr="004B249B" w:rsidRDefault="004B249B" w:rsidP="004B249B">
            <w:pPr>
              <w:jc w:val="right"/>
              <w:rPr>
                <w:sz w:val="22"/>
                <w:szCs w:val="22"/>
              </w:rPr>
            </w:pPr>
            <w:r>
              <w:rPr>
                <w:sz w:val="22"/>
                <w:szCs w:val="22"/>
              </w:rPr>
              <w:t>2,240.0</w:t>
            </w:r>
          </w:p>
        </w:tc>
      </w:tr>
      <w:tr w:rsidR="004B249B" w:rsidTr="004B249B">
        <w:tc>
          <w:tcPr>
            <w:tcW w:w="3085" w:type="dxa"/>
          </w:tcPr>
          <w:p w:rsidR="004B249B" w:rsidRPr="004B249B" w:rsidRDefault="004B249B" w:rsidP="007739D1">
            <w:pPr>
              <w:rPr>
                <w:sz w:val="22"/>
                <w:szCs w:val="22"/>
              </w:rPr>
            </w:pPr>
            <w:r>
              <w:rPr>
                <w:sz w:val="22"/>
                <w:szCs w:val="22"/>
              </w:rPr>
              <w:t>Capital Grants</w:t>
            </w:r>
          </w:p>
        </w:tc>
        <w:tc>
          <w:tcPr>
            <w:tcW w:w="1022" w:type="dxa"/>
          </w:tcPr>
          <w:p w:rsidR="004B249B" w:rsidRPr="004B249B" w:rsidRDefault="004B249B" w:rsidP="004B249B">
            <w:pPr>
              <w:jc w:val="right"/>
              <w:rPr>
                <w:sz w:val="22"/>
                <w:szCs w:val="22"/>
              </w:rPr>
            </w:pPr>
            <w:r>
              <w:rPr>
                <w:sz w:val="22"/>
                <w:szCs w:val="22"/>
              </w:rPr>
              <w:t>10,378.0</w:t>
            </w:r>
          </w:p>
        </w:tc>
        <w:tc>
          <w:tcPr>
            <w:tcW w:w="1072" w:type="dxa"/>
          </w:tcPr>
          <w:p w:rsidR="004B249B" w:rsidRPr="004B249B" w:rsidRDefault="004B249B" w:rsidP="004B249B">
            <w:pPr>
              <w:jc w:val="right"/>
              <w:rPr>
                <w:sz w:val="22"/>
                <w:szCs w:val="22"/>
              </w:rPr>
            </w:pPr>
            <w:r>
              <w:rPr>
                <w:sz w:val="22"/>
                <w:szCs w:val="22"/>
              </w:rPr>
              <w:t>32,898.3</w:t>
            </w:r>
          </w:p>
        </w:tc>
        <w:tc>
          <w:tcPr>
            <w:tcW w:w="1265" w:type="dxa"/>
          </w:tcPr>
          <w:p w:rsidR="004B249B" w:rsidRPr="004B249B" w:rsidRDefault="004B249B" w:rsidP="004B249B">
            <w:pPr>
              <w:jc w:val="right"/>
              <w:rPr>
                <w:sz w:val="22"/>
                <w:szCs w:val="22"/>
              </w:rPr>
            </w:pPr>
            <w:r>
              <w:rPr>
                <w:sz w:val="22"/>
                <w:szCs w:val="22"/>
              </w:rPr>
              <w:t>7,305.1</w:t>
            </w:r>
          </w:p>
        </w:tc>
        <w:tc>
          <w:tcPr>
            <w:tcW w:w="1105" w:type="dxa"/>
          </w:tcPr>
          <w:p w:rsidR="004B249B" w:rsidRPr="004B249B" w:rsidRDefault="004B249B" w:rsidP="004B249B">
            <w:pPr>
              <w:jc w:val="right"/>
              <w:rPr>
                <w:sz w:val="22"/>
                <w:szCs w:val="22"/>
              </w:rPr>
            </w:pPr>
            <w:r>
              <w:rPr>
                <w:sz w:val="22"/>
                <w:szCs w:val="22"/>
              </w:rPr>
              <w:t>6,513.0</w:t>
            </w:r>
          </w:p>
        </w:tc>
        <w:tc>
          <w:tcPr>
            <w:tcW w:w="1072" w:type="dxa"/>
          </w:tcPr>
          <w:p w:rsidR="004B249B" w:rsidRPr="004B249B" w:rsidRDefault="004B249B" w:rsidP="004B249B">
            <w:pPr>
              <w:jc w:val="right"/>
              <w:rPr>
                <w:sz w:val="22"/>
                <w:szCs w:val="22"/>
              </w:rPr>
            </w:pPr>
            <w:r>
              <w:rPr>
                <w:sz w:val="22"/>
                <w:szCs w:val="22"/>
              </w:rPr>
              <w:t>6,752.2</w:t>
            </w:r>
          </w:p>
        </w:tc>
      </w:tr>
      <w:tr w:rsidR="004B249B" w:rsidTr="004B249B">
        <w:tc>
          <w:tcPr>
            <w:tcW w:w="3085" w:type="dxa"/>
          </w:tcPr>
          <w:p w:rsidR="004B249B" w:rsidRPr="004B249B" w:rsidRDefault="004B249B" w:rsidP="007739D1">
            <w:pPr>
              <w:rPr>
                <w:sz w:val="22"/>
                <w:szCs w:val="22"/>
              </w:rPr>
            </w:pPr>
            <w:r>
              <w:rPr>
                <w:sz w:val="22"/>
                <w:szCs w:val="22"/>
              </w:rPr>
              <w:t>Capital Receipts</w:t>
            </w:r>
          </w:p>
        </w:tc>
        <w:tc>
          <w:tcPr>
            <w:tcW w:w="1022" w:type="dxa"/>
          </w:tcPr>
          <w:p w:rsidR="004B249B" w:rsidRPr="004B249B" w:rsidRDefault="004B249B" w:rsidP="004B249B">
            <w:pPr>
              <w:jc w:val="right"/>
              <w:rPr>
                <w:sz w:val="22"/>
                <w:szCs w:val="22"/>
              </w:rPr>
            </w:pPr>
            <w:r>
              <w:rPr>
                <w:sz w:val="22"/>
                <w:szCs w:val="22"/>
              </w:rPr>
              <w:t>3,876.0</w:t>
            </w:r>
          </w:p>
        </w:tc>
        <w:tc>
          <w:tcPr>
            <w:tcW w:w="1072" w:type="dxa"/>
          </w:tcPr>
          <w:p w:rsidR="004B249B" w:rsidRPr="004B249B" w:rsidRDefault="004B249B" w:rsidP="004B249B">
            <w:pPr>
              <w:jc w:val="right"/>
              <w:rPr>
                <w:sz w:val="22"/>
                <w:szCs w:val="22"/>
              </w:rPr>
            </w:pPr>
            <w:r>
              <w:rPr>
                <w:sz w:val="22"/>
                <w:szCs w:val="22"/>
              </w:rPr>
              <w:t>8,413.3</w:t>
            </w:r>
          </w:p>
        </w:tc>
        <w:tc>
          <w:tcPr>
            <w:tcW w:w="1265" w:type="dxa"/>
          </w:tcPr>
          <w:p w:rsidR="004B249B" w:rsidRPr="004B249B" w:rsidRDefault="004B249B" w:rsidP="004B249B">
            <w:pPr>
              <w:jc w:val="right"/>
              <w:rPr>
                <w:sz w:val="22"/>
                <w:szCs w:val="22"/>
              </w:rPr>
            </w:pPr>
            <w:r>
              <w:rPr>
                <w:sz w:val="22"/>
                <w:szCs w:val="22"/>
              </w:rPr>
              <w:t>5,991.5</w:t>
            </w:r>
          </w:p>
        </w:tc>
        <w:tc>
          <w:tcPr>
            <w:tcW w:w="1105" w:type="dxa"/>
          </w:tcPr>
          <w:p w:rsidR="004B249B" w:rsidRPr="004B249B" w:rsidRDefault="004B249B" w:rsidP="004B249B">
            <w:pPr>
              <w:jc w:val="right"/>
              <w:rPr>
                <w:sz w:val="22"/>
                <w:szCs w:val="22"/>
              </w:rPr>
            </w:pPr>
            <w:r>
              <w:rPr>
                <w:sz w:val="22"/>
                <w:szCs w:val="22"/>
              </w:rPr>
              <w:t>-396.0</w:t>
            </w:r>
          </w:p>
        </w:tc>
        <w:tc>
          <w:tcPr>
            <w:tcW w:w="1072" w:type="dxa"/>
          </w:tcPr>
          <w:p w:rsidR="004B249B" w:rsidRPr="004B249B" w:rsidRDefault="004B249B" w:rsidP="004B249B">
            <w:pPr>
              <w:jc w:val="right"/>
              <w:rPr>
                <w:sz w:val="22"/>
                <w:szCs w:val="22"/>
              </w:rPr>
            </w:pPr>
            <w:r>
              <w:rPr>
                <w:sz w:val="22"/>
                <w:szCs w:val="22"/>
              </w:rPr>
              <w:t>-508.6</w:t>
            </w:r>
          </w:p>
        </w:tc>
      </w:tr>
      <w:tr w:rsidR="004B249B" w:rsidTr="004B249B">
        <w:tc>
          <w:tcPr>
            <w:tcW w:w="3085" w:type="dxa"/>
          </w:tcPr>
          <w:p w:rsidR="004B249B" w:rsidRDefault="004B249B" w:rsidP="007739D1">
            <w:pPr>
              <w:rPr>
                <w:sz w:val="22"/>
                <w:szCs w:val="22"/>
              </w:rPr>
            </w:pPr>
            <w:r>
              <w:rPr>
                <w:sz w:val="22"/>
                <w:szCs w:val="22"/>
              </w:rPr>
              <w:t>Revenue</w:t>
            </w:r>
          </w:p>
        </w:tc>
        <w:tc>
          <w:tcPr>
            <w:tcW w:w="1022" w:type="dxa"/>
          </w:tcPr>
          <w:p w:rsidR="004B249B" w:rsidRPr="004B249B" w:rsidRDefault="004B249B" w:rsidP="004B249B">
            <w:pPr>
              <w:jc w:val="right"/>
              <w:rPr>
                <w:sz w:val="22"/>
                <w:szCs w:val="22"/>
              </w:rPr>
            </w:pPr>
            <w:r>
              <w:rPr>
                <w:sz w:val="22"/>
                <w:szCs w:val="22"/>
              </w:rPr>
              <w:t>4,538.0</w:t>
            </w:r>
          </w:p>
        </w:tc>
        <w:tc>
          <w:tcPr>
            <w:tcW w:w="1072" w:type="dxa"/>
          </w:tcPr>
          <w:p w:rsidR="004B249B" w:rsidRPr="004B249B" w:rsidRDefault="004B249B" w:rsidP="004B249B">
            <w:pPr>
              <w:jc w:val="right"/>
              <w:rPr>
                <w:sz w:val="22"/>
                <w:szCs w:val="22"/>
              </w:rPr>
            </w:pPr>
            <w:r>
              <w:rPr>
                <w:sz w:val="22"/>
                <w:szCs w:val="22"/>
              </w:rPr>
              <w:t>13,296.0</w:t>
            </w:r>
          </w:p>
        </w:tc>
        <w:tc>
          <w:tcPr>
            <w:tcW w:w="1265" w:type="dxa"/>
          </w:tcPr>
          <w:p w:rsidR="004B249B" w:rsidRPr="004B249B" w:rsidRDefault="004B249B" w:rsidP="004B249B">
            <w:pPr>
              <w:jc w:val="right"/>
              <w:rPr>
                <w:sz w:val="22"/>
                <w:szCs w:val="22"/>
              </w:rPr>
            </w:pPr>
            <w:r>
              <w:rPr>
                <w:sz w:val="22"/>
                <w:szCs w:val="22"/>
              </w:rPr>
              <w:t>17,758.4</w:t>
            </w:r>
          </w:p>
        </w:tc>
        <w:tc>
          <w:tcPr>
            <w:tcW w:w="1105" w:type="dxa"/>
          </w:tcPr>
          <w:p w:rsidR="004B249B" w:rsidRPr="004B249B" w:rsidRDefault="004B249B" w:rsidP="004B249B">
            <w:pPr>
              <w:jc w:val="right"/>
              <w:rPr>
                <w:sz w:val="22"/>
                <w:szCs w:val="22"/>
              </w:rPr>
            </w:pPr>
            <w:r>
              <w:rPr>
                <w:sz w:val="22"/>
                <w:szCs w:val="22"/>
              </w:rPr>
              <w:t>17,539.3</w:t>
            </w:r>
          </w:p>
        </w:tc>
        <w:tc>
          <w:tcPr>
            <w:tcW w:w="1072" w:type="dxa"/>
          </w:tcPr>
          <w:p w:rsidR="004B249B" w:rsidRPr="004B249B" w:rsidRDefault="004B249B" w:rsidP="004B249B">
            <w:pPr>
              <w:jc w:val="right"/>
              <w:rPr>
                <w:sz w:val="22"/>
                <w:szCs w:val="22"/>
              </w:rPr>
            </w:pPr>
            <w:r>
              <w:rPr>
                <w:sz w:val="22"/>
                <w:szCs w:val="22"/>
              </w:rPr>
              <w:t>18,979.6</w:t>
            </w:r>
          </w:p>
        </w:tc>
      </w:tr>
      <w:tr w:rsidR="004B249B" w:rsidTr="004B249B">
        <w:tc>
          <w:tcPr>
            <w:tcW w:w="3085" w:type="dxa"/>
          </w:tcPr>
          <w:p w:rsidR="004B249B" w:rsidRDefault="004B249B" w:rsidP="007739D1">
            <w:pPr>
              <w:rPr>
                <w:sz w:val="22"/>
                <w:szCs w:val="22"/>
              </w:rPr>
            </w:pPr>
            <w:r>
              <w:rPr>
                <w:sz w:val="22"/>
                <w:szCs w:val="22"/>
              </w:rPr>
              <w:t>Prudential Borrowing</w:t>
            </w:r>
          </w:p>
        </w:tc>
        <w:tc>
          <w:tcPr>
            <w:tcW w:w="1022" w:type="dxa"/>
          </w:tcPr>
          <w:p w:rsidR="004B249B" w:rsidRPr="004B249B" w:rsidRDefault="004B249B" w:rsidP="004B249B">
            <w:pPr>
              <w:jc w:val="right"/>
              <w:rPr>
                <w:sz w:val="22"/>
                <w:szCs w:val="22"/>
              </w:rPr>
            </w:pPr>
            <w:r>
              <w:rPr>
                <w:sz w:val="22"/>
                <w:szCs w:val="22"/>
              </w:rPr>
              <w:t>2,741.0</w:t>
            </w:r>
          </w:p>
        </w:tc>
        <w:tc>
          <w:tcPr>
            <w:tcW w:w="1072" w:type="dxa"/>
          </w:tcPr>
          <w:p w:rsidR="004B249B" w:rsidRPr="004B249B" w:rsidRDefault="004B249B" w:rsidP="004B249B">
            <w:pPr>
              <w:jc w:val="right"/>
              <w:rPr>
                <w:sz w:val="22"/>
                <w:szCs w:val="22"/>
              </w:rPr>
            </w:pPr>
            <w:r>
              <w:rPr>
                <w:sz w:val="22"/>
                <w:szCs w:val="22"/>
              </w:rPr>
              <w:t>2,991.1</w:t>
            </w:r>
          </w:p>
        </w:tc>
        <w:tc>
          <w:tcPr>
            <w:tcW w:w="1265" w:type="dxa"/>
          </w:tcPr>
          <w:p w:rsidR="004B249B" w:rsidRPr="004B249B" w:rsidRDefault="004B249B" w:rsidP="004B249B">
            <w:pPr>
              <w:jc w:val="right"/>
              <w:rPr>
                <w:sz w:val="22"/>
                <w:szCs w:val="22"/>
              </w:rPr>
            </w:pPr>
            <w:r>
              <w:rPr>
                <w:sz w:val="22"/>
                <w:szCs w:val="22"/>
              </w:rPr>
              <w:t>3,268.4</w:t>
            </w:r>
          </w:p>
        </w:tc>
        <w:tc>
          <w:tcPr>
            <w:tcW w:w="1105" w:type="dxa"/>
          </w:tcPr>
          <w:p w:rsidR="004B249B" w:rsidRPr="004B249B" w:rsidRDefault="004B249B" w:rsidP="004B249B">
            <w:pPr>
              <w:jc w:val="right"/>
              <w:rPr>
                <w:sz w:val="22"/>
                <w:szCs w:val="22"/>
              </w:rPr>
            </w:pPr>
            <w:r>
              <w:rPr>
                <w:sz w:val="22"/>
                <w:szCs w:val="22"/>
              </w:rPr>
              <w:t>13,742.4</w:t>
            </w:r>
          </w:p>
        </w:tc>
        <w:tc>
          <w:tcPr>
            <w:tcW w:w="1072" w:type="dxa"/>
          </w:tcPr>
          <w:p w:rsidR="004B249B" w:rsidRPr="004B249B" w:rsidRDefault="004B249B" w:rsidP="004B249B">
            <w:pPr>
              <w:jc w:val="right"/>
              <w:rPr>
                <w:sz w:val="22"/>
                <w:szCs w:val="22"/>
              </w:rPr>
            </w:pPr>
            <w:r>
              <w:rPr>
                <w:sz w:val="22"/>
                <w:szCs w:val="22"/>
              </w:rPr>
              <w:t>13,855.2</w:t>
            </w:r>
          </w:p>
        </w:tc>
      </w:tr>
      <w:tr w:rsidR="004B249B" w:rsidTr="004B249B">
        <w:tc>
          <w:tcPr>
            <w:tcW w:w="3085" w:type="dxa"/>
          </w:tcPr>
          <w:p w:rsidR="004B249B" w:rsidRPr="004B249B" w:rsidRDefault="004B249B" w:rsidP="007739D1">
            <w:pPr>
              <w:rPr>
                <w:b/>
                <w:sz w:val="22"/>
                <w:szCs w:val="22"/>
              </w:rPr>
            </w:pPr>
            <w:r w:rsidRPr="004B249B">
              <w:rPr>
                <w:b/>
                <w:sz w:val="22"/>
                <w:szCs w:val="22"/>
              </w:rPr>
              <w:t>Total Funding</w:t>
            </w:r>
          </w:p>
        </w:tc>
        <w:tc>
          <w:tcPr>
            <w:tcW w:w="1022" w:type="dxa"/>
          </w:tcPr>
          <w:p w:rsidR="004B249B" w:rsidRPr="004B249B" w:rsidRDefault="004B249B" w:rsidP="004B249B">
            <w:pPr>
              <w:jc w:val="right"/>
              <w:rPr>
                <w:b/>
                <w:sz w:val="22"/>
                <w:szCs w:val="22"/>
              </w:rPr>
            </w:pPr>
            <w:r w:rsidRPr="004B249B">
              <w:rPr>
                <w:b/>
                <w:sz w:val="22"/>
                <w:szCs w:val="22"/>
              </w:rPr>
              <w:t>22,003.0</w:t>
            </w:r>
          </w:p>
        </w:tc>
        <w:tc>
          <w:tcPr>
            <w:tcW w:w="1072" w:type="dxa"/>
          </w:tcPr>
          <w:p w:rsidR="004B249B" w:rsidRPr="004B249B" w:rsidRDefault="004B249B" w:rsidP="004B249B">
            <w:pPr>
              <w:jc w:val="right"/>
              <w:rPr>
                <w:b/>
                <w:sz w:val="22"/>
                <w:szCs w:val="22"/>
              </w:rPr>
            </w:pPr>
            <w:r w:rsidRPr="004B249B">
              <w:rPr>
                <w:b/>
                <w:sz w:val="22"/>
                <w:szCs w:val="22"/>
              </w:rPr>
              <w:t>58,828.3</w:t>
            </w:r>
          </w:p>
        </w:tc>
        <w:tc>
          <w:tcPr>
            <w:tcW w:w="1265" w:type="dxa"/>
          </w:tcPr>
          <w:p w:rsidR="004B249B" w:rsidRPr="004B249B" w:rsidRDefault="004B249B" w:rsidP="004B249B">
            <w:pPr>
              <w:jc w:val="right"/>
              <w:rPr>
                <w:b/>
                <w:sz w:val="22"/>
                <w:szCs w:val="22"/>
              </w:rPr>
            </w:pPr>
            <w:r w:rsidRPr="004B249B">
              <w:rPr>
                <w:b/>
                <w:sz w:val="22"/>
                <w:szCs w:val="22"/>
              </w:rPr>
              <w:t>36,867.6</w:t>
            </w:r>
          </w:p>
        </w:tc>
        <w:tc>
          <w:tcPr>
            <w:tcW w:w="1105" w:type="dxa"/>
          </w:tcPr>
          <w:p w:rsidR="004B249B" w:rsidRPr="004B249B" w:rsidRDefault="004B249B" w:rsidP="004B249B">
            <w:pPr>
              <w:jc w:val="right"/>
              <w:rPr>
                <w:b/>
                <w:sz w:val="22"/>
                <w:szCs w:val="22"/>
              </w:rPr>
            </w:pPr>
            <w:r w:rsidRPr="004B249B">
              <w:rPr>
                <w:b/>
                <w:sz w:val="22"/>
                <w:szCs w:val="22"/>
              </w:rPr>
              <w:t>40,398.7</w:t>
            </w:r>
          </w:p>
        </w:tc>
        <w:tc>
          <w:tcPr>
            <w:tcW w:w="1072" w:type="dxa"/>
          </w:tcPr>
          <w:p w:rsidR="004B249B" w:rsidRPr="004B249B" w:rsidRDefault="004B249B" w:rsidP="004B249B">
            <w:pPr>
              <w:jc w:val="right"/>
              <w:rPr>
                <w:b/>
                <w:sz w:val="22"/>
                <w:szCs w:val="22"/>
              </w:rPr>
            </w:pPr>
            <w:r w:rsidRPr="004B249B">
              <w:rPr>
                <w:b/>
                <w:sz w:val="22"/>
                <w:szCs w:val="22"/>
              </w:rPr>
              <w:t>41,318.4</w:t>
            </w:r>
          </w:p>
        </w:tc>
      </w:tr>
    </w:tbl>
    <w:p w:rsidR="004B249B" w:rsidRDefault="004B249B" w:rsidP="007739D1">
      <w:pPr>
        <w:rPr>
          <w:b/>
        </w:rPr>
      </w:pPr>
    </w:p>
    <w:p w:rsidR="007739D1" w:rsidRDefault="007739D1" w:rsidP="007739D1">
      <w:pPr>
        <w:rPr>
          <w:color w:val="FF0000"/>
        </w:rPr>
      </w:pPr>
    </w:p>
    <w:p w:rsidR="00886075" w:rsidRPr="00896028" w:rsidRDefault="00886075" w:rsidP="007739D1">
      <w:pPr>
        <w:rPr>
          <w:color w:val="FF0000"/>
        </w:rPr>
      </w:pPr>
    </w:p>
    <w:p w:rsidR="007739D1" w:rsidRPr="00896028" w:rsidRDefault="007739D1" w:rsidP="007739D1">
      <w:pPr>
        <w:rPr>
          <w:color w:val="FF0000"/>
        </w:rPr>
      </w:pPr>
    </w:p>
    <w:p w:rsidR="007739D1" w:rsidRPr="00360799" w:rsidRDefault="007739D1" w:rsidP="007739D1">
      <w:pPr>
        <w:numPr>
          <w:ilvl w:val="0"/>
          <w:numId w:val="13"/>
        </w:numPr>
        <w:ind w:left="0" w:firstLine="0"/>
      </w:pPr>
      <w:r w:rsidRPr="00360799">
        <w:rPr>
          <w:b/>
        </w:rPr>
        <w:t>Capital Financing Requirement (CFR).</w:t>
      </w:r>
      <w:r w:rsidRPr="00360799">
        <w:t xml:space="preserve"> </w:t>
      </w:r>
    </w:p>
    <w:p w:rsidR="007739D1" w:rsidRPr="00360799" w:rsidRDefault="007739D1" w:rsidP="007739D1">
      <w:pPr>
        <w:numPr>
          <w:ilvl w:val="0"/>
          <w:numId w:val="12"/>
        </w:numPr>
        <w:tabs>
          <w:tab w:val="num" w:pos="360"/>
        </w:tabs>
      </w:pPr>
      <w:r w:rsidRPr="00360799">
        <w:t>The CFR is the total outstanding capital expenditure which has not yet been paid for from either revenue or capital resources.  It is essentially a measure of the Council’s underlying need to borrow.  Prudential borrowing is explored in more detail below.</w:t>
      </w:r>
    </w:p>
    <w:p w:rsidR="007739D1" w:rsidRPr="00360799" w:rsidRDefault="007739D1" w:rsidP="007739D1"/>
    <w:p w:rsidR="007739D1" w:rsidRPr="00360799" w:rsidRDefault="007739D1" w:rsidP="007739D1">
      <w:pPr>
        <w:numPr>
          <w:ilvl w:val="0"/>
          <w:numId w:val="12"/>
        </w:numPr>
      </w:pPr>
      <w:r w:rsidRPr="00360799">
        <w:t>The CFR includes any other long term liabilities (</w:t>
      </w:r>
      <w:proofErr w:type="spellStart"/>
      <w:r w:rsidRPr="00360799">
        <w:t>eg</w:t>
      </w:r>
      <w:proofErr w:type="spellEnd"/>
      <w:r w:rsidRPr="00360799">
        <w:t xml:space="preserve"> finance leases).  Whilst these increase the CFR, and therefore the Council’s borrowing requirement, these types of scheme include a borrowing facility and so the Council is not required to separately borrow for these schemes.</w:t>
      </w:r>
    </w:p>
    <w:p w:rsidR="007739D1" w:rsidRPr="00360799" w:rsidRDefault="007739D1" w:rsidP="007739D1">
      <w:pPr>
        <w:ind w:left="360" w:hanging="360"/>
      </w:pPr>
    </w:p>
    <w:p w:rsidR="007739D1" w:rsidRPr="00896028" w:rsidRDefault="007739D1" w:rsidP="007739D1">
      <w:pPr>
        <w:rPr>
          <w:color w:val="FF0000"/>
          <w:highlight w:val="yellow"/>
        </w:rPr>
      </w:pPr>
    </w:p>
    <w:p w:rsidR="007739D1" w:rsidRDefault="00886075" w:rsidP="007739D1">
      <w:pPr>
        <w:rPr>
          <w:b/>
        </w:rPr>
      </w:pPr>
      <w:r>
        <w:rPr>
          <w:b/>
        </w:rPr>
        <w:t>Table 2</w:t>
      </w:r>
      <w:r w:rsidR="007739D1" w:rsidRPr="00977239">
        <w:rPr>
          <w:b/>
        </w:rPr>
        <w:t>:- Capital Financing Requirement</w:t>
      </w:r>
    </w:p>
    <w:p w:rsidR="004B249B" w:rsidRDefault="004B249B"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Tr="003C5DCE">
        <w:tc>
          <w:tcPr>
            <w:tcW w:w="2518" w:type="dxa"/>
          </w:tcPr>
          <w:p w:rsidR="003C5DCE" w:rsidRDefault="003C5DCE" w:rsidP="007739D1">
            <w:pPr>
              <w:rPr>
                <w:b/>
              </w:rPr>
            </w:pPr>
          </w:p>
        </w:tc>
        <w:tc>
          <w:tcPr>
            <w:tcW w:w="1134" w:type="dxa"/>
          </w:tcPr>
          <w:p w:rsidR="003C5DCE" w:rsidRPr="004B249B" w:rsidRDefault="003C5DCE" w:rsidP="00207A04">
            <w:pPr>
              <w:jc w:val="center"/>
              <w:rPr>
                <w:b/>
                <w:sz w:val="22"/>
                <w:szCs w:val="22"/>
              </w:rPr>
            </w:pPr>
            <w:r w:rsidRPr="004B249B">
              <w:rPr>
                <w:b/>
                <w:sz w:val="22"/>
                <w:szCs w:val="22"/>
              </w:rPr>
              <w:t>2013/14 Actual £000’s</w:t>
            </w:r>
          </w:p>
        </w:tc>
        <w:tc>
          <w:tcPr>
            <w:tcW w:w="1276" w:type="dxa"/>
          </w:tcPr>
          <w:p w:rsidR="003C5DCE" w:rsidRPr="004B249B" w:rsidRDefault="003C5DCE" w:rsidP="00207A04">
            <w:pPr>
              <w:jc w:val="center"/>
              <w:rPr>
                <w:b/>
                <w:sz w:val="22"/>
                <w:szCs w:val="22"/>
              </w:rPr>
            </w:pPr>
            <w:r w:rsidRPr="004B249B">
              <w:rPr>
                <w:b/>
                <w:sz w:val="22"/>
                <w:szCs w:val="22"/>
              </w:rPr>
              <w:t>2014/15 Estimate £000’s</w:t>
            </w:r>
          </w:p>
        </w:tc>
        <w:tc>
          <w:tcPr>
            <w:tcW w:w="1134" w:type="dxa"/>
          </w:tcPr>
          <w:p w:rsidR="003C5DCE" w:rsidRPr="004B249B" w:rsidRDefault="003C5DCE" w:rsidP="00207A04">
            <w:pPr>
              <w:jc w:val="center"/>
              <w:rPr>
                <w:b/>
                <w:sz w:val="22"/>
                <w:szCs w:val="22"/>
              </w:rPr>
            </w:pPr>
            <w:r w:rsidRPr="004B249B">
              <w:rPr>
                <w:b/>
                <w:sz w:val="22"/>
                <w:szCs w:val="22"/>
              </w:rPr>
              <w:t>2015/16 Estimate £000’s</w:t>
            </w:r>
          </w:p>
        </w:tc>
        <w:tc>
          <w:tcPr>
            <w:tcW w:w="1276" w:type="dxa"/>
          </w:tcPr>
          <w:p w:rsidR="003C5DCE" w:rsidRPr="004B249B" w:rsidRDefault="003C5DCE" w:rsidP="00207A04">
            <w:pPr>
              <w:jc w:val="center"/>
              <w:rPr>
                <w:b/>
                <w:sz w:val="22"/>
                <w:szCs w:val="22"/>
              </w:rPr>
            </w:pPr>
            <w:r w:rsidRPr="004B249B">
              <w:rPr>
                <w:b/>
                <w:sz w:val="22"/>
                <w:szCs w:val="22"/>
              </w:rPr>
              <w:t>2016/17 Estimate £000’s</w:t>
            </w:r>
          </w:p>
        </w:tc>
        <w:tc>
          <w:tcPr>
            <w:tcW w:w="1184" w:type="dxa"/>
          </w:tcPr>
          <w:p w:rsidR="003C5DCE" w:rsidRPr="004B249B" w:rsidRDefault="003C5DCE" w:rsidP="00207A04">
            <w:pPr>
              <w:jc w:val="center"/>
              <w:rPr>
                <w:b/>
                <w:sz w:val="22"/>
                <w:szCs w:val="22"/>
              </w:rPr>
            </w:pPr>
            <w:r w:rsidRPr="004B249B">
              <w:rPr>
                <w:b/>
                <w:sz w:val="22"/>
                <w:szCs w:val="22"/>
              </w:rPr>
              <w:t>2017/18 Estimate £000’s</w:t>
            </w:r>
          </w:p>
        </w:tc>
      </w:tr>
      <w:tr w:rsidR="003C5DCE" w:rsidRPr="003C5DCE" w:rsidTr="003C5DCE">
        <w:tc>
          <w:tcPr>
            <w:tcW w:w="2518" w:type="dxa"/>
          </w:tcPr>
          <w:p w:rsidR="003C5DCE" w:rsidRPr="003C5DCE" w:rsidRDefault="003C5DCE" w:rsidP="007739D1">
            <w:r w:rsidRPr="003C5DCE">
              <w:t>General Fund</w:t>
            </w:r>
          </w:p>
        </w:tc>
        <w:tc>
          <w:tcPr>
            <w:tcW w:w="1134" w:type="dxa"/>
          </w:tcPr>
          <w:p w:rsidR="003C5DCE" w:rsidRPr="003C5DCE" w:rsidRDefault="003C5DCE" w:rsidP="00EE758D">
            <w:pPr>
              <w:jc w:val="right"/>
            </w:pPr>
            <w:r w:rsidRPr="003C5DCE">
              <w:t>-1,746</w:t>
            </w:r>
          </w:p>
        </w:tc>
        <w:tc>
          <w:tcPr>
            <w:tcW w:w="1276" w:type="dxa"/>
          </w:tcPr>
          <w:p w:rsidR="003C5DCE" w:rsidRPr="003C5DCE" w:rsidRDefault="003C5DCE" w:rsidP="00EE758D">
            <w:pPr>
              <w:jc w:val="right"/>
            </w:pPr>
            <w:r>
              <w:t>23,578</w:t>
            </w:r>
          </w:p>
        </w:tc>
        <w:tc>
          <w:tcPr>
            <w:tcW w:w="1134" w:type="dxa"/>
          </w:tcPr>
          <w:p w:rsidR="003C5DCE" w:rsidRPr="003C5DCE" w:rsidRDefault="003C5DCE" w:rsidP="00EE758D">
            <w:pPr>
              <w:jc w:val="right"/>
            </w:pPr>
            <w:r>
              <w:t>22,570</w:t>
            </w:r>
          </w:p>
        </w:tc>
        <w:tc>
          <w:tcPr>
            <w:tcW w:w="1276" w:type="dxa"/>
          </w:tcPr>
          <w:p w:rsidR="003C5DCE" w:rsidRPr="003C5DCE" w:rsidRDefault="003C5DCE" w:rsidP="00EE758D">
            <w:pPr>
              <w:jc w:val="right"/>
            </w:pPr>
            <w:r>
              <w:t>21,563</w:t>
            </w:r>
          </w:p>
        </w:tc>
        <w:tc>
          <w:tcPr>
            <w:tcW w:w="1184" w:type="dxa"/>
          </w:tcPr>
          <w:p w:rsidR="003C5DCE" w:rsidRPr="003C5DCE" w:rsidRDefault="003C5DCE" w:rsidP="00EE758D">
            <w:pPr>
              <w:jc w:val="right"/>
            </w:pPr>
            <w:r>
              <w:t>20,555</w:t>
            </w:r>
          </w:p>
        </w:tc>
      </w:tr>
      <w:tr w:rsidR="003C5DCE" w:rsidRPr="003C5DCE" w:rsidTr="003C5DCE">
        <w:tc>
          <w:tcPr>
            <w:tcW w:w="2518" w:type="dxa"/>
          </w:tcPr>
          <w:p w:rsidR="003C5DCE" w:rsidRPr="003C5DCE" w:rsidRDefault="003C5DCE" w:rsidP="007739D1">
            <w:r w:rsidRPr="003C5DCE">
              <w:t>HRA</w:t>
            </w:r>
          </w:p>
        </w:tc>
        <w:tc>
          <w:tcPr>
            <w:tcW w:w="1134" w:type="dxa"/>
          </w:tcPr>
          <w:p w:rsidR="003C5DCE" w:rsidRPr="003C5DCE" w:rsidRDefault="003C5DCE" w:rsidP="00EE758D">
            <w:pPr>
              <w:jc w:val="right"/>
            </w:pPr>
            <w:r w:rsidRPr="003C5DCE">
              <w:t>222,297</w:t>
            </w:r>
          </w:p>
        </w:tc>
        <w:tc>
          <w:tcPr>
            <w:tcW w:w="1276" w:type="dxa"/>
          </w:tcPr>
          <w:p w:rsidR="003C5DCE" w:rsidRPr="003C5DCE" w:rsidRDefault="003C5DCE" w:rsidP="00EE758D">
            <w:pPr>
              <w:jc w:val="right"/>
            </w:pPr>
            <w:r>
              <w:t>199,384</w:t>
            </w:r>
          </w:p>
        </w:tc>
        <w:tc>
          <w:tcPr>
            <w:tcW w:w="1134" w:type="dxa"/>
          </w:tcPr>
          <w:p w:rsidR="003C5DCE" w:rsidRPr="003C5DCE" w:rsidRDefault="003C5DCE" w:rsidP="00EE758D">
            <w:pPr>
              <w:jc w:val="right"/>
            </w:pPr>
            <w:r>
              <w:t>202,653</w:t>
            </w:r>
          </w:p>
        </w:tc>
        <w:tc>
          <w:tcPr>
            <w:tcW w:w="1276" w:type="dxa"/>
          </w:tcPr>
          <w:p w:rsidR="003C5DCE" w:rsidRPr="003C5DCE" w:rsidRDefault="003C5DCE" w:rsidP="00EE758D">
            <w:pPr>
              <w:jc w:val="right"/>
            </w:pPr>
            <w:r>
              <w:t>216,395</w:t>
            </w:r>
          </w:p>
        </w:tc>
        <w:tc>
          <w:tcPr>
            <w:tcW w:w="1184" w:type="dxa"/>
          </w:tcPr>
          <w:p w:rsidR="003C5DCE" w:rsidRPr="003C5DCE" w:rsidRDefault="003C5DCE" w:rsidP="00EE758D">
            <w:pPr>
              <w:jc w:val="right"/>
            </w:pPr>
            <w:r>
              <w:t>230,250</w:t>
            </w:r>
          </w:p>
        </w:tc>
      </w:tr>
      <w:tr w:rsidR="003C5DCE" w:rsidRPr="003C5DCE" w:rsidTr="003C5DCE">
        <w:tc>
          <w:tcPr>
            <w:tcW w:w="2518" w:type="dxa"/>
          </w:tcPr>
          <w:p w:rsidR="003C5DCE" w:rsidRPr="003C5DCE" w:rsidRDefault="003C5DCE" w:rsidP="007739D1">
            <w:pPr>
              <w:rPr>
                <w:b/>
              </w:rPr>
            </w:pPr>
            <w:r w:rsidRPr="003C5DCE">
              <w:rPr>
                <w:b/>
              </w:rPr>
              <w:t>Total</w:t>
            </w:r>
          </w:p>
        </w:tc>
        <w:tc>
          <w:tcPr>
            <w:tcW w:w="1134" w:type="dxa"/>
          </w:tcPr>
          <w:p w:rsidR="003C5DCE" w:rsidRPr="003C5DCE" w:rsidRDefault="003C5DCE" w:rsidP="00EE758D">
            <w:pPr>
              <w:jc w:val="right"/>
              <w:rPr>
                <w:b/>
              </w:rPr>
            </w:pPr>
            <w:r w:rsidRPr="003C5DCE">
              <w:rPr>
                <w:b/>
              </w:rPr>
              <w:t>220,551</w:t>
            </w:r>
          </w:p>
        </w:tc>
        <w:tc>
          <w:tcPr>
            <w:tcW w:w="1276" w:type="dxa"/>
          </w:tcPr>
          <w:p w:rsidR="003C5DCE" w:rsidRPr="003C5DCE" w:rsidRDefault="003C5DCE" w:rsidP="00EE758D">
            <w:pPr>
              <w:jc w:val="right"/>
              <w:rPr>
                <w:b/>
              </w:rPr>
            </w:pPr>
            <w:r w:rsidRPr="003C5DCE">
              <w:rPr>
                <w:b/>
              </w:rPr>
              <w:t>222,962</w:t>
            </w:r>
          </w:p>
        </w:tc>
        <w:tc>
          <w:tcPr>
            <w:tcW w:w="1134" w:type="dxa"/>
          </w:tcPr>
          <w:p w:rsidR="003C5DCE" w:rsidRPr="003C5DCE" w:rsidRDefault="003C5DCE" w:rsidP="00EE758D">
            <w:pPr>
              <w:jc w:val="right"/>
              <w:rPr>
                <w:b/>
              </w:rPr>
            </w:pPr>
            <w:r w:rsidRPr="003C5DCE">
              <w:rPr>
                <w:b/>
              </w:rPr>
              <w:t>225,223</w:t>
            </w:r>
          </w:p>
        </w:tc>
        <w:tc>
          <w:tcPr>
            <w:tcW w:w="1276" w:type="dxa"/>
          </w:tcPr>
          <w:p w:rsidR="003C5DCE" w:rsidRPr="003C5DCE" w:rsidRDefault="003C5DCE" w:rsidP="00EE758D">
            <w:pPr>
              <w:jc w:val="right"/>
              <w:rPr>
                <w:b/>
              </w:rPr>
            </w:pPr>
            <w:r w:rsidRPr="003C5DCE">
              <w:rPr>
                <w:b/>
              </w:rPr>
              <w:t>237,958</w:t>
            </w:r>
          </w:p>
        </w:tc>
        <w:tc>
          <w:tcPr>
            <w:tcW w:w="1184" w:type="dxa"/>
          </w:tcPr>
          <w:p w:rsidR="003C5DCE" w:rsidRPr="003C5DCE" w:rsidRDefault="003C5DCE" w:rsidP="00EE758D">
            <w:pPr>
              <w:jc w:val="right"/>
              <w:rPr>
                <w:b/>
              </w:rPr>
            </w:pPr>
            <w:r w:rsidRPr="003C5DCE">
              <w:rPr>
                <w:b/>
              </w:rPr>
              <w:t>250,805</w:t>
            </w:r>
          </w:p>
        </w:tc>
      </w:tr>
    </w:tbl>
    <w:p w:rsidR="004B249B" w:rsidRPr="003C5DCE" w:rsidRDefault="004B249B" w:rsidP="007739D1"/>
    <w:tbl>
      <w:tblPr>
        <w:tblStyle w:val="TableGrid"/>
        <w:tblW w:w="0" w:type="auto"/>
        <w:tblLook w:val="04A0" w:firstRow="1" w:lastRow="0" w:firstColumn="1" w:lastColumn="0" w:noHBand="0" w:noVBand="1"/>
      </w:tblPr>
      <w:tblGrid>
        <w:gridCol w:w="2518"/>
        <w:gridCol w:w="1134"/>
        <w:gridCol w:w="1276"/>
        <w:gridCol w:w="1134"/>
        <w:gridCol w:w="1276"/>
        <w:gridCol w:w="1184"/>
      </w:tblGrid>
      <w:tr w:rsidR="003C5DCE" w:rsidRPr="003C5DCE" w:rsidTr="003C5DCE">
        <w:tc>
          <w:tcPr>
            <w:tcW w:w="2518" w:type="dxa"/>
          </w:tcPr>
          <w:p w:rsidR="003C5DCE" w:rsidRPr="003C5DCE" w:rsidRDefault="003C5DCE" w:rsidP="007739D1">
            <w:r w:rsidRPr="003C5DCE">
              <w:t>Movement in CFR</w:t>
            </w:r>
          </w:p>
        </w:tc>
        <w:tc>
          <w:tcPr>
            <w:tcW w:w="1134" w:type="dxa"/>
          </w:tcPr>
          <w:p w:rsidR="003C5DCE" w:rsidRPr="003C5DCE" w:rsidRDefault="003C5DCE" w:rsidP="00EE758D">
            <w:pPr>
              <w:jc w:val="right"/>
            </w:pPr>
            <w:r>
              <w:t>20,107</w:t>
            </w:r>
          </w:p>
        </w:tc>
        <w:tc>
          <w:tcPr>
            <w:tcW w:w="1276" w:type="dxa"/>
          </w:tcPr>
          <w:p w:rsidR="003C5DCE" w:rsidRPr="003C5DCE" w:rsidRDefault="003C5DCE" w:rsidP="00EE758D">
            <w:pPr>
              <w:jc w:val="right"/>
            </w:pPr>
            <w:r>
              <w:t>2,411</w:t>
            </w:r>
          </w:p>
        </w:tc>
        <w:tc>
          <w:tcPr>
            <w:tcW w:w="1134" w:type="dxa"/>
          </w:tcPr>
          <w:p w:rsidR="003C5DCE" w:rsidRPr="003C5DCE" w:rsidRDefault="003C5DCE" w:rsidP="00EE758D">
            <w:pPr>
              <w:jc w:val="right"/>
            </w:pPr>
            <w:r>
              <w:t>2,261</w:t>
            </w:r>
          </w:p>
        </w:tc>
        <w:tc>
          <w:tcPr>
            <w:tcW w:w="1276" w:type="dxa"/>
          </w:tcPr>
          <w:p w:rsidR="003C5DCE" w:rsidRPr="003C5DCE" w:rsidRDefault="003C5DCE" w:rsidP="00EE758D">
            <w:pPr>
              <w:jc w:val="right"/>
            </w:pPr>
            <w:r>
              <w:t>12,735</w:t>
            </w:r>
          </w:p>
        </w:tc>
        <w:tc>
          <w:tcPr>
            <w:tcW w:w="1184" w:type="dxa"/>
          </w:tcPr>
          <w:p w:rsidR="003C5DCE" w:rsidRPr="003C5DCE" w:rsidRDefault="003C5DCE" w:rsidP="00EE758D">
            <w:pPr>
              <w:jc w:val="right"/>
            </w:pPr>
            <w:r>
              <w:t>12,848</w:t>
            </w:r>
          </w:p>
        </w:tc>
      </w:tr>
    </w:tbl>
    <w:p w:rsidR="003C5DCE" w:rsidRPr="003C5DCE" w:rsidRDefault="003C5DCE" w:rsidP="007739D1"/>
    <w:p w:rsidR="007739D1" w:rsidRPr="00896028" w:rsidRDefault="007739D1" w:rsidP="007739D1">
      <w:pPr>
        <w:rPr>
          <w:color w:val="FF0000"/>
        </w:rPr>
      </w:pPr>
      <w:r w:rsidRPr="00C43D00">
        <w:t xml:space="preserve"> </w:t>
      </w:r>
    </w:p>
    <w:p w:rsidR="007739D1" w:rsidRPr="00305C70" w:rsidRDefault="007739D1" w:rsidP="007739D1">
      <w:pPr>
        <w:rPr>
          <w:b/>
          <w:u w:val="single"/>
        </w:rPr>
      </w:pPr>
      <w:r w:rsidRPr="00305C70">
        <w:rPr>
          <w:b/>
          <w:u w:val="single"/>
        </w:rPr>
        <w:t>Affordability</w:t>
      </w:r>
    </w:p>
    <w:p w:rsidR="007739D1" w:rsidRPr="00360799" w:rsidRDefault="007739D1" w:rsidP="007739D1">
      <w:pPr>
        <w:numPr>
          <w:ilvl w:val="0"/>
          <w:numId w:val="12"/>
        </w:numPr>
      </w:pPr>
      <w:r w:rsidRPr="00360799">
        <w:t xml:space="preserve">The Strategy also includes the Prudential Indicators, which the authority is required to consider before determining its budget and treasury management arrangements for the new financial year.    These indicators are a statutory requirement and therefore have to be reported to Council each year.  These indicators are split into two categories the first is affordability.  </w:t>
      </w:r>
      <w:r>
        <w:t>The</w:t>
      </w:r>
      <w:r w:rsidRPr="00360799">
        <w:t xml:space="preserve"> affordability indicators are listed below:</w:t>
      </w:r>
    </w:p>
    <w:p w:rsidR="007739D1" w:rsidRPr="00360799" w:rsidRDefault="007739D1" w:rsidP="007739D1">
      <w:pPr>
        <w:rPr>
          <w:b/>
          <w:highlight w:val="yellow"/>
        </w:rPr>
      </w:pPr>
    </w:p>
    <w:p w:rsidR="007739D1" w:rsidRPr="00360799" w:rsidRDefault="007739D1" w:rsidP="007739D1">
      <w:pPr>
        <w:rPr>
          <w:b/>
        </w:rPr>
      </w:pPr>
      <w:r w:rsidRPr="00360799">
        <w:rPr>
          <w:b/>
        </w:rPr>
        <w:t>C. Ratio of financing costs to the net revenue stream</w:t>
      </w:r>
    </w:p>
    <w:p w:rsidR="007739D1" w:rsidRPr="00360799" w:rsidRDefault="007739D1" w:rsidP="007739D1">
      <w:pPr>
        <w:numPr>
          <w:ilvl w:val="0"/>
          <w:numId w:val="12"/>
        </w:numPr>
      </w:pPr>
      <w:r w:rsidRPr="00360799">
        <w:t>Th</w:t>
      </w:r>
      <w:r>
        <w:t>is indicator represents th</w:t>
      </w:r>
      <w:r w:rsidRPr="00360799">
        <w:t>e estimate of the ratio of financing costs to the net revenue stream</w:t>
      </w:r>
      <w:r>
        <w:t xml:space="preserve"> for HRA and General Fund</w:t>
      </w:r>
      <w:r w:rsidRPr="00360799">
        <w:rPr>
          <w:rStyle w:val="CommentReference"/>
        </w:rPr>
        <w:t>.</w:t>
      </w:r>
    </w:p>
    <w:p w:rsidR="007739D1" w:rsidRPr="00896028" w:rsidRDefault="007739D1" w:rsidP="007739D1">
      <w:pPr>
        <w:rPr>
          <w:color w:val="FF0000"/>
          <w:highlight w:val="yellow"/>
        </w:rPr>
      </w:pPr>
    </w:p>
    <w:p w:rsidR="007739D1" w:rsidRDefault="00D33068" w:rsidP="007739D1">
      <w:pPr>
        <w:rPr>
          <w:b/>
        </w:rPr>
      </w:pPr>
      <w:r>
        <w:rPr>
          <w:b/>
        </w:rPr>
        <w:t>Table 3</w:t>
      </w:r>
      <w:r w:rsidR="007739D1" w:rsidRPr="00A1292C">
        <w:rPr>
          <w:b/>
        </w:rPr>
        <w:t>:- Ratio of financing costs to net revenue stream</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Default="00EE758D" w:rsidP="007739D1">
            <w:pPr>
              <w:rPr>
                <w:b/>
              </w:rPr>
            </w:pPr>
          </w:p>
        </w:tc>
        <w:tc>
          <w:tcPr>
            <w:tcW w:w="1134" w:type="dxa"/>
          </w:tcPr>
          <w:p w:rsidR="00EE758D" w:rsidRPr="004B249B" w:rsidRDefault="00EE758D" w:rsidP="006C5A1B">
            <w:pPr>
              <w:jc w:val="center"/>
              <w:rPr>
                <w:b/>
                <w:sz w:val="22"/>
                <w:szCs w:val="22"/>
              </w:rPr>
            </w:pPr>
            <w:r w:rsidRPr="004B249B">
              <w:rPr>
                <w:b/>
                <w:sz w:val="22"/>
                <w:szCs w:val="22"/>
              </w:rPr>
              <w:t xml:space="preserve">2013/14 Actual </w:t>
            </w:r>
            <w:r w:rsidR="006C5A1B">
              <w:rPr>
                <w:b/>
                <w:sz w:val="22"/>
                <w:szCs w:val="22"/>
              </w:rPr>
              <w:t>%</w:t>
            </w:r>
          </w:p>
        </w:tc>
        <w:tc>
          <w:tcPr>
            <w:tcW w:w="1276" w:type="dxa"/>
          </w:tcPr>
          <w:p w:rsidR="00EE758D" w:rsidRPr="004B249B" w:rsidRDefault="00EE758D" w:rsidP="006C5A1B">
            <w:pPr>
              <w:jc w:val="center"/>
              <w:rPr>
                <w:b/>
                <w:sz w:val="22"/>
                <w:szCs w:val="22"/>
              </w:rPr>
            </w:pPr>
            <w:r w:rsidRPr="004B249B">
              <w:rPr>
                <w:b/>
                <w:sz w:val="22"/>
                <w:szCs w:val="22"/>
              </w:rPr>
              <w:t xml:space="preserve">2014/15 Estimate </w:t>
            </w:r>
            <w:r w:rsidR="006C5A1B">
              <w:rPr>
                <w:b/>
                <w:sz w:val="22"/>
                <w:szCs w:val="22"/>
              </w:rPr>
              <w:t>%</w:t>
            </w:r>
          </w:p>
        </w:tc>
        <w:tc>
          <w:tcPr>
            <w:tcW w:w="1134" w:type="dxa"/>
          </w:tcPr>
          <w:p w:rsidR="00EE758D" w:rsidRPr="004B249B" w:rsidRDefault="00EE758D" w:rsidP="00207A04">
            <w:pPr>
              <w:jc w:val="center"/>
              <w:rPr>
                <w:b/>
                <w:sz w:val="22"/>
                <w:szCs w:val="22"/>
              </w:rPr>
            </w:pPr>
            <w:r w:rsidRPr="004B249B">
              <w:rPr>
                <w:b/>
                <w:sz w:val="22"/>
                <w:szCs w:val="22"/>
              </w:rPr>
              <w:t xml:space="preserve">2015/16 Estimate </w:t>
            </w:r>
            <w:r w:rsidR="006C5A1B">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 xml:space="preserve">2016/17 Estimate </w:t>
            </w:r>
            <w:r w:rsidR="006C5A1B">
              <w:rPr>
                <w:b/>
                <w:sz w:val="22"/>
                <w:szCs w:val="22"/>
              </w:rPr>
              <w:t>%</w:t>
            </w:r>
          </w:p>
        </w:tc>
        <w:tc>
          <w:tcPr>
            <w:tcW w:w="1184" w:type="dxa"/>
          </w:tcPr>
          <w:p w:rsidR="00EE758D" w:rsidRPr="004B249B" w:rsidRDefault="00EE758D" w:rsidP="00207A04">
            <w:pPr>
              <w:jc w:val="center"/>
              <w:rPr>
                <w:b/>
                <w:sz w:val="22"/>
                <w:szCs w:val="22"/>
              </w:rPr>
            </w:pPr>
            <w:r w:rsidRPr="004B249B">
              <w:rPr>
                <w:b/>
                <w:sz w:val="22"/>
                <w:szCs w:val="22"/>
              </w:rPr>
              <w:t xml:space="preserve">2017/18 Estimate </w:t>
            </w:r>
            <w:r w:rsidR="006C5A1B">
              <w:rPr>
                <w:b/>
                <w:sz w:val="22"/>
                <w:szCs w:val="22"/>
              </w:rPr>
              <w:t>%</w:t>
            </w:r>
          </w:p>
        </w:tc>
      </w:tr>
      <w:tr w:rsidR="00EE758D" w:rsidTr="00EE758D">
        <w:tc>
          <w:tcPr>
            <w:tcW w:w="2518" w:type="dxa"/>
          </w:tcPr>
          <w:p w:rsidR="00EE758D" w:rsidRPr="00EE758D" w:rsidRDefault="00EE758D" w:rsidP="007739D1">
            <w:r w:rsidRPr="00EE758D">
              <w:t>General Fund</w:t>
            </w:r>
          </w:p>
        </w:tc>
        <w:tc>
          <w:tcPr>
            <w:tcW w:w="1134" w:type="dxa"/>
          </w:tcPr>
          <w:p w:rsidR="00EE758D" w:rsidRPr="00EE758D" w:rsidRDefault="00EE758D" w:rsidP="00EE758D">
            <w:pPr>
              <w:jc w:val="right"/>
            </w:pPr>
            <w:r w:rsidRPr="00EE758D">
              <w:t>-0.7%</w:t>
            </w:r>
          </w:p>
        </w:tc>
        <w:tc>
          <w:tcPr>
            <w:tcW w:w="1276" w:type="dxa"/>
          </w:tcPr>
          <w:p w:rsidR="00EE758D" w:rsidRPr="00EE758D" w:rsidRDefault="00EE758D" w:rsidP="00EE758D">
            <w:pPr>
              <w:jc w:val="right"/>
            </w:pPr>
            <w:r>
              <w:t>-4.4%</w:t>
            </w:r>
          </w:p>
        </w:tc>
        <w:tc>
          <w:tcPr>
            <w:tcW w:w="1134" w:type="dxa"/>
          </w:tcPr>
          <w:p w:rsidR="00EE758D" w:rsidRPr="00EE758D" w:rsidRDefault="00EE758D" w:rsidP="00EE758D">
            <w:pPr>
              <w:jc w:val="right"/>
            </w:pPr>
            <w:r>
              <w:t>-5.7%</w:t>
            </w:r>
          </w:p>
        </w:tc>
        <w:tc>
          <w:tcPr>
            <w:tcW w:w="1276" w:type="dxa"/>
          </w:tcPr>
          <w:p w:rsidR="00EE758D" w:rsidRPr="00EE758D" w:rsidRDefault="00EE758D" w:rsidP="00EE758D">
            <w:pPr>
              <w:jc w:val="right"/>
            </w:pPr>
            <w:r>
              <w:t>-7.4%</w:t>
            </w:r>
          </w:p>
        </w:tc>
        <w:tc>
          <w:tcPr>
            <w:tcW w:w="1184" w:type="dxa"/>
          </w:tcPr>
          <w:p w:rsidR="00EE758D" w:rsidRPr="00EE758D" w:rsidRDefault="00EE758D" w:rsidP="00EE758D">
            <w:pPr>
              <w:jc w:val="right"/>
            </w:pPr>
            <w:r>
              <w:t>-8.6%</w:t>
            </w:r>
          </w:p>
        </w:tc>
      </w:tr>
      <w:tr w:rsidR="00EE758D" w:rsidTr="00EE758D">
        <w:tc>
          <w:tcPr>
            <w:tcW w:w="2518" w:type="dxa"/>
          </w:tcPr>
          <w:p w:rsidR="00EE758D" w:rsidRPr="00EE758D" w:rsidRDefault="00EE758D" w:rsidP="007739D1">
            <w:r w:rsidRPr="00EE758D">
              <w:t>HRA</w:t>
            </w:r>
          </w:p>
        </w:tc>
        <w:tc>
          <w:tcPr>
            <w:tcW w:w="1134" w:type="dxa"/>
          </w:tcPr>
          <w:p w:rsidR="00EE758D" w:rsidRPr="00EE758D" w:rsidRDefault="00EE758D" w:rsidP="00EE758D">
            <w:pPr>
              <w:jc w:val="right"/>
            </w:pPr>
            <w:r>
              <w:t>18.5%</w:t>
            </w:r>
          </w:p>
        </w:tc>
        <w:tc>
          <w:tcPr>
            <w:tcW w:w="1276" w:type="dxa"/>
          </w:tcPr>
          <w:p w:rsidR="00EE758D" w:rsidRPr="00EE758D" w:rsidRDefault="00EE758D" w:rsidP="00EE758D">
            <w:pPr>
              <w:jc w:val="right"/>
            </w:pPr>
            <w:r>
              <w:t>18.1%</w:t>
            </w:r>
          </w:p>
        </w:tc>
        <w:tc>
          <w:tcPr>
            <w:tcW w:w="1134" w:type="dxa"/>
          </w:tcPr>
          <w:p w:rsidR="00EE758D" w:rsidRPr="00EE758D" w:rsidRDefault="00EE758D" w:rsidP="00EE758D">
            <w:pPr>
              <w:jc w:val="right"/>
            </w:pPr>
            <w:r>
              <w:t>17.0%</w:t>
            </w:r>
          </w:p>
        </w:tc>
        <w:tc>
          <w:tcPr>
            <w:tcW w:w="1276" w:type="dxa"/>
          </w:tcPr>
          <w:p w:rsidR="00EE758D" w:rsidRPr="00EE758D" w:rsidRDefault="00EE758D" w:rsidP="00EE758D">
            <w:pPr>
              <w:jc w:val="right"/>
            </w:pPr>
            <w:r>
              <w:t>16.1%</w:t>
            </w:r>
          </w:p>
        </w:tc>
        <w:tc>
          <w:tcPr>
            <w:tcW w:w="1184" w:type="dxa"/>
          </w:tcPr>
          <w:p w:rsidR="00EE758D" w:rsidRPr="00EE758D" w:rsidRDefault="00EE758D" w:rsidP="00EE758D">
            <w:pPr>
              <w:jc w:val="right"/>
            </w:pPr>
            <w:r>
              <w:t>16.0%</w:t>
            </w:r>
          </w:p>
        </w:tc>
      </w:tr>
    </w:tbl>
    <w:p w:rsidR="00EE758D" w:rsidRPr="00A1292C" w:rsidRDefault="00EE758D" w:rsidP="007739D1">
      <w:pPr>
        <w:rPr>
          <w:b/>
        </w:rPr>
      </w:pPr>
    </w:p>
    <w:p w:rsidR="007739D1" w:rsidRDefault="007739D1"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Default="00EE758D" w:rsidP="007739D1">
      <w:pPr>
        <w:rPr>
          <w:b/>
          <w:color w:val="FF0000"/>
          <w:highlight w:val="yellow"/>
        </w:rPr>
      </w:pPr>
    </w:p>
    <w:p w:rsidR="00EE758D" w:rsidRPr="00896028" w:rsidRDefault="00EE758D" w:rsidP="007739D1">
      <w:pPr>
        <w:rPr>
          <w:b/>
          <w:color w:val="FF0000"/>
          <w:highlight w:val="yellow"/>
        </w:rPr>
      </w:pPr>
    </w:p>
    <w:p w:rsidR="007739D1" w:rsidRDefault="007739D1" w:rsidP="007739D1">
      <w:pPr>
        <w:ind w:left="284" w:hanging="284"/>
        <w:rPr>
          <w:b/>
        </w:rPr>
      </w:pPr>
      <w:r w:rsidRPr="00360799">
        <w:rPr>
          <w:b/>
        </w:rPr>
        <w:t xml:space="preserve">D. Incremental impact of capital investment decisions on Council Tax </w:t>
      </w:r>
      <w:r>
        <w:rPr>
          <w:b/>
        </w:rPr>
        <w:t>and Rents</w:t>
      </w:r>
    </w:p>
    <w:p w:rsidR="007739D1" w:rsidRPr="00360799" w:rsidRDefault="007739D1" w:rsidP="007739D1">
      <w:pPr>
        <w:rPr>
          <w:b/>
        </w:rPr>
      </w:pPr>
    </w:p>
    <w:p w:rsidR="007739D1" w:rsidRPr="00360799" w:rsidRDefault="007739D1" w:rsidP="007739D1">
      <w:pPr>
        <w:rPr>
          <w:b/>
        </w:rPr>
      </w:pPr>
      <w:r w:rsidRPr="00360799">
        <w:rPr>
          <w:b/>
        </w:rPr>
        <w:t>Council Tax</w:t>
      </w:r>
    </w:p>
    <w:p w:rsidR="007739D1" w:rsidRDefault="007739D1" w:rsidP="009E42D9">
      <w:pPr>
        <w:numPr>
          <w:ilvl w:val="0"/>
          <w:numId w:val="12"/>
        </w:numPr>
        <w:ind w:left="567" w:firstLine="0"/>
      </w:pPr>
      <w:r w:rsidRPr="00360799">
        <w:t xml:space="preserve">The estimate of the incremental impact of capital investment decisions on the Council Tax is shown below; this shows the impact of any decisions that are made on investment through the Capital Programme and how </w:t>
      </w:r>
      <w:r>
        <w:t xml:space="preserve">it </w:t>
      </w:r>
      <w:r w:rsidRPr="00360799">
        <w:t>affects the Band D Council Tax.</w:t>
      </w:r>
      <w:r>
        <w:t xml:space="preserve"> </w:t>
      </w:r>
    </w:p>
    <w:p w:rsidR="00BD45A8" w:rsidRDefault="00BD45A8" w:rsidP="00BD45A8">
      <w:pPr>
        <w:ind w:left="567"/>
      </w:pPr>
    </w:p>
    <w:p w:rsidR="00BD45A8" w:rsidRDefault="00BD45A8" w:rsidP="00BD45A8">
      <w:pPr>
        <w:numPr>
          <w:ilvl w:val="0"/>
          <w:numId w:val="12"/>
        </w:numPr>
        <w:tabs>
          <w:tab w:val="left" w:pos="993"/>
        </w:tabs>
        <w:ind w:left="567" w:firstLine="0"/>
      </w:pPr>
      <w:r>
        <w:t xml:space="preserve">The figures in Table 4 </w:t>
      </w:r>
      <w:r w:rsidRPr="00360799">
        <w:t>below have been calculated by looking at those schemes that are uncommitted in the current Capital Programme and looking at the impact they will have on Council Tax after taking into account capital receipts and revenue contributions</w:t>
      </w:r>
    </w:p>
    <w:p w:rsidR="007739D1" w:rsidRPr="00360799" w:rsidRDefault="007739D1" w:rsidP="007739D1">
      <w:pPr>
        <w:ind w:left="-180"/>
      </w:pPr>
    </w:p>
    <w:p w:rsidR="007739D1" w:rsidRPr="00360799" w:rsidRDefault="007739D1" w:rsidP="00BD45A8">
      <w:pPr>
        <w:numPr>
          <w:ilvl w:val="0"/>
          <w:numId w:val="12"/>
        </w:numPr>
        <w:tabs>
          <w:tab w:val="left" w:pos="993"/>
        </w:tabs>
        <w:ind w:left="567" w:firstLine="0"/>
      </w:pPr>
      <w:r w:rsidRPr="00360799">
        <w:t xml:space="preserve">The Council will not enter into any uncommitted capital scheme until the source of funding is confirmed, e.g. Capital receipts, grants, S106 or prudential borrowing.  This will ensure we can avoid any unplanned revenue consequences as a result of capital expenditure. </w:t>
      </w:r>
    </w:p>
    <w:p w:rsidR="007739D1" w:rsidRPr="00360799" w:rsidRDefault="007739D1" w:rsidP="007739D1">
      <w:pPr>
        <w:ind w:left="180"/>
        <w:rPr>
          <w:highlight w:val="yellow"/>
        </w:rPr>
      </w:pPr>
    </w:p>
    <w:p w:rsidR="007739D1" w:rsidRDefault="007739D1" w:rsidP="007739D1">
      <w:pPr>
        <w:rPr>
          <w:b/>
        </w:rPr>
      </w:pPr>
      <w:r>
        <w:rPr>
          <w:b/>
        </w:rPr>
        <w:t xml:space="preserve">Table </w:t>
      </w:r>
      <w:r w:rsidR="009E42D9">
        <w:rPr>
          <w:b/>
        </w:rPr>
        <w:t>4</w:t>
      </w:r>
      <w:r w:rsidRPr="005C09CA">
        <w:rPr>
          <w:b/>
        </w:rPr>
        <w:t>:- Impact of Capital Expenditure on Council Tax</w:t>
      </w:r>
    </w:p>
    <w:p w:rsidR="00EE758D" w:rsidRDefault="00EE758D" w:rsidP="007739D1">
      <w:pPr>
        <w:rPr>
          <w:b/>
        </w:rPr>
      </w:pP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EE758D">
            <w:pPr>
              <w:jc w:val="center"/>
              <w:rPr>
                <w:b/>
                <w:sz w:val="22"/>
                <w:szCs w:val="22"/>
              </w:rPr>
            </w:pPr>
            <w:r w:rsidRPr="004B249B">
              <w:rPr>
                <w:b/>
                <w:sz w:val="22"/>
                <w:szCs w:val="22"/>
              </w:rPr>
              <w:t>2014/15 Estimate £</w:t>
            </w:r>
          </w:p>
        </w:tc>
        <w:tc>
          <w:tcPr>
            <w:tcW w:w="1134" w:type="dxa"/>
          </w:tcPr>
          <w:p w:rsidR="00EE758D" w:rsidRPr="004B249B" w:rsidRDefault="00EE758D" w:rsidP="00EE758D">
            <w:pPr>
              <w:jc w:val="center"/>
              <w:rPr>
                <w:b/>
                <w:sz w:val="22"/>
                <w:szCs w:val="22"/>
              </w:rPr>
            </w:pPr>
            <w:r w:rsidRPr="004B249B">
              <w:rPr>
                <w:b/>
                <w:sz w:val="22"/>
                <w:szCs w:val="22"/>
              </w:rPr>
              <w:t>2015/16 Estimate £</w:t>
            </w:r>
          </w:p>
        </w:tc>
        <w:tc>
          <w:tcPr>
            <w:tcW w:w="1276" w:type="dxa"/>
          </w:tcPr>
          <w:p w:rsidR="00EE758D" w:rsidRPr="004B249B" w:rsidRDefault="00EE758D" w:rsidP="00EE758D">
            <w:pPr>
              <w:jc w:val="center"/>
              <w:rPr>
                <w:b/>
                <w:sz w:val="22"/>
                <w:szCs w:val="22"/>
              </w:rPr>
            </w:pPr>
            <w:r w:rsidRPr="004B249B">
              <w:rPr>
                <w:b/>
                <w:sz w:val="22"/>
                <w:szCs w:val="22"/>
              </w:rPr>
              <w:t>2016/17 Estimate £</w:t>
            </w:r>
          </w:p>
        </w:tc>
        <w:tc>
          <w:tcPr>
            <w:tcW w:w="1184" w:type="dxa"/>
          </w:tcPr>
          <w:p w:rsidR="00EE758D" w:rsidRPr="004B249B" w:rsidRDefault="00EE758D" w:rsidP="00EE758D">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Council Tax Band D per week</w:t>
            </w:r>
          </w:p>
        </w:tc>
        <w:tc>
          <w:tcPr>
            <w:tcW w:w="1134" w:type="dxa"/>
          </w:tcPr>
          <w:p w:rsidR="00EE758D" w:rsidRPr="00EE758D" w:rsidRDefault="00EE758D" w:rsidP="00EE758D">
            <w:pPr>
              <w:jc w:val="right"/>
            </w:pPr>
            <w:r w:rsidRPr="00EE758D">
              <w:t>0.26</w:t>
            </w:r>
          </w:p>
        </w:tc>
        <w:tc>
          <w:tcPr>
            <w:tcW w:w="1276" w:type="dxa"/>
          </w:tcPr>
          <w:p w:rsidR="00EE758D" w:rsidRPr="00EE758D" w:rsidRDefault="00EE758D" w:rsidP="00EE758D">
            <w:pPr>
              <w:jc w:val="right"/>
            </w:pPr>
            <w:r w:rsidRPr="00EE758D">
              <w:t>0.70</w:t>
            </w:r>
          </w:p>
        </w:tc>
        <w:tc>
          <w:tcPr>
            <w:tcW w:w="1134" w:type="dxa"/>
          </w:tcPr>
          <w:p w:rsidR="00EE758D" w:rsidRPr="00EE758D" w:rsidRDefault="00EE758D" w:rsidP="00EE758D">
            <w:pPr>
              <w:jc w:val="right"/>
            </w:pPr>
            <w:r w:rsidRPr="00EE758D">
              <w:t>0.36</w:t>
            </w:r>
          </w:p>
        </w:tc>
        <w:tc>
          <w:tcPr>
            <w:tcW w:w="1276" w:type="dxa"/>
          </w:tcPr>
          <w:p w:rsidR="00EE758D" w:rsidRPr="00EE758D" w:rsidRDefault="00EE758D" w:rsidP="00EE758D">
            <w:pPr>
              <w:jc w:val="right"/>
            </w:pPr>
            <w:r w:rsidRPr="00EE758D">
              <w:t>0.18</w:t>
            </w:r>
          </w:p>
        </w:tc>
        <w:tc>
          <w:tcPr>
            <w:tcW w:w="1184" w:type="dxa"/>
          </w:tcPr>
          <w:p w:rsidR="00EE758D" w:rsidRPr="00EE758D" w:rsidRDefault="00EE758D" w:rsidP="00EE758D">
            <w:pPr>
              <w:jc w:val="right"/>
            </w:pPr>
            <w:r w:rsidRPr="00EE758D">
              <w:t>0.12</w:t>
            </w:r>
          </w:p>
        </w:tc>
      </w:tr>
    </w:tbl>
    <w:p w:rsidR="00A64E91" w:rsidRPr="005C09CA" w:rsidRDefault="00A64E91" w:rsidP="007739D1">
      <w:pPr>
        <w:rPr>
          <w:b/>
        </w:rPr>
      </w:pPr>
    </w:p>
    <w:p w:rsidR="007739D1" w:rsidRPr="005C09CA" w:rsidRDefault="007739D1" w:rsidP="007739D1">
      <w:pPr>
        <w:ind w:left="-180"/>
        <w:rPr>
          <w:b/>
        </w:rPr>
      </w:pPr>
      <w:r w:rsidRPr="005C09CA">
        <w:rPr>
          <w:b/>
        </w:rPr>
        <w:t>Housing Rents</w:t>
      </w:r>
    </w:p>
    <w:p w:rsidR="007739D1" w:rsidRPr="00360799" w:rsidRDefault="007739D1" w:rsidP="007739D1">
      <w:pPr>
        <w:numPr>
          <w:ilvl w:val="0"/>
          <w:numId w:val="12"/>
        </w:numPr>
      </w:pPr>
      <w:r w:rsidRPr="00360799">
        <w:t xml:space="preserve">The estimated incremental impact of capital investment decisions on weekly housing rents is shown </w:t>
      </w:r>
      <w:r>
        <w:t xml:space="preserve">in Table </w:t>
      </w:r>
      <w:r w:rsidR="00491FFD">
        <w:t>5</w:t>
      </w:r>
      <w:r>
        <w:t xml:space="preserve"> </w:t>
      </w:r>
      <w:r w:rsidRPr="00360799">
        <w:t>below. The figures have been calculated by looking at those schemes that are currently in the Capital Programme and deducting alternate funding resources.</w:t>
      </w:r>
    </w:p>
    <w:p w:rsidR="007739D1" w:rsidRPr="00360799" w:rsidRDefault="007739D1" w:rsidP="007739D1"/>
    <w:p w:rsidR="007739D1" w:rsidRPr="00360799" w:rsidRDefault="007739D1" w:rsidP="007739D1">
      <w:pPr>
        <w:numPr>
          <w:ilvl w:val="0"/>
          <w:numId w:val="12"/>
        </w:numPr>
      </w:pPr>
      <w:r w:rsidRPr="00360799">
        <w:t>The key drivers for setting housing rents with effect from 1</w:t>
      </w:r>
      <w:r w:rsidRPr="00360799">
        <w:rPr>
          <w:vertAlign w:val="superscript"/>
        </w:rPr>
        <w:t>st</w:t>
      </w:r>
      <w:r w:rsidRPr="00360799">
        <w:t xml:space="preserve"> April 201</w:t>
      </w:r>
      <w:r w:rsidR="00BB6C40">
        <w:t>5</w:t>
      </w:r>
      <w:r w:rsidRPr="00360799">
        <w:t xml:space="preserve"> will be affordability and the need to cover net </w:t>
      </w:r>
      <w:proofErr w:type="gramStart"/>
      <w:r w:rsidRPr="00360799">
        <w:t>expenditure .</w:t>
      </w:r>
      <w:proofErr w:type="gramEnd"/>
      <w:r w:rsidRPr="00360799">
        <w:t xml:space="preserve"> Formula rent guidance </w:t>
      </w:r>
      <w:r>
        <w:t>states that for 201</w:t>
      </w:r>
      <w:r w:rsidR="00A64E91">
        <w:t>5/</w:t>
      </w:r>
      <w:proofErr w:type="gramStart"/>
      <w:r w:rsidR="00A64E91">
        <w:t>16</w:t>
      </w:r>
      <w:r>
        <w:t xml:space="preserve"> </w:t>
      </w:r>
      <w:r w:rsidR="00A64E91">
        <w:t xml:space="preserve"> for</w:t>
      </w:r>
      <w:proofErr w:type="gramEnd"/>
      <w:r w:rsidR="00A64E91">
        <w:t xml:space="preserve"> properties not at target rent will be CPI + 1% + £2, and those at target rent CPI + 1%.  </w:t>
      </w:r>
      <w:r w:rsidR="00491FFD">
        <w:t xml:space="preserve">At September 2014 </w:t>
      </w:r>
      <w:r w:rsidR="00A64E91">
        <w:t xml:space="preserve">CPI </w:t>
      </w:r>
      <w:r w:rsidR="00491FFD">
        <w:t xml:space="preserve">was </w:t>
      </w:r>
      <w:r w:rsidR="00A64E91">
        <w:t>1.2%</w:t>
      </w:r>
      <w:r>
        <w:t>.</w:t>
      </w:r>
    </w:p>
    <w:p w:rsidR="007739D1" w:rsidRPr="00360799" w:rsidRDefault="007739D1" w:rsidP="007739D1"/>
    <w:p w:rsidR="007739D1" w:rsidRPr="00360799" w:rsidRDefault="000D1A7D" w:rsidP="007739D1">
      <w:pPr>
        <w:numPr>
          <w:ilvl w:val="0"/>
          <w:numId w:val="12"/>
        </w:numPr>
      </w:pPr>
      <w:r>
        <w:t>The expected expenditure on the</w:t>
      </w:r>
      <w:r w:rsidR="007739D1" w:rsidRPr="00360799">
        <w:t xml:space="preserve"> HRA Capital Programme </w:t>
      </w:r>
      <w:r>
        <w:t>will have the following impact</w:t>
      </w:r>
      <w:r w:rsidR="0096528B">
        <w:t xml:space="preserve"> </w:t>
      </w:r>
      <w:r>
        <w:t>on</w:t>
      </w:r>
      <w:r w:rsidR="007739D1" w:rsidRPr="00360799">
        <w:t xml:space="preserve"> council rents:</w:t>
      </w:r>
    </w:p>
    <w:p w:rsidR="007739D1" w:rsidRPr="00896028" w:rsidRDefault="007739D1" w:rsidP="007739D1">
      <w:pPr>
        <w:rPr>
          <w:b/>
          <w:color w:val="FF0000"/>
        </w:rPr>
      </w:pPr>
    </w:p>
    <w:p w:rsidR="00EE758D" w:rsidRDefault="007739D1" w:rsidP="007739D1">
      <w:pPr>
        <w:rPr>
          <w:b/>
        </w:rPr>
      </w:pPr>
      <w:r>
        <w:rPr>
          <w:b/>
        </w:rPr>
        <w:t xml:space="preserve">Table </w:t>
      </w:r>
      <w:r w:rsidR="00A64E91">
        <w:rPr>
          <w:b/>
        </w:rPr>
        <w:t>5</w:t>
      </w:r>
      <w:r w:rsidRPr="005C09CA">
        <w:rPr>
          <w:b/>
        </w:rPr>
        <w:t>:- Impact of Capital Expenditure on Housing Rents</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EE758D" w:rsidTr="00EE758D">
        <w:tc>
          <w:tcPr>
            <w:tcW w:w="2518" w:type="dxa"/>
          </w:tcPr>
          <w:p w:rsidR="00EE758D" w:rsidRPr="00EE758D" w:rsidRDefault="00EE758D" w:rsidP="007739D1"/>
        </w:tc>
        <w:tc>
          <w:tcPr>
            <w:tcW w:w="1134" w:type="dxa"/>
          </w:tcPr>
          <w:p w:rsidR="00EE758D" w:rsidRDefault="00EE758D" w:rsidP="00207A04">
            <w:pPr>
              <w:jc w:val="center"/>
              <w:rPr>
                <w:b/>
                <w:sz w:val="22"/>
                <w:szCs w:val="22"/>
              </w:rPr>
            </w:pPr>
            <w:r>
              <w:rPr>
                <w:b/>
                <w:sz w:val="22"/>
                <w:szCs w:val="22"/>
              </w:rPr>
              <w:t xml:space="preserve">2013/14 Actual </w:t>
            </w:r>
          </w:p>
          <w:p w:rsidR="00EE758D" w:rsidRPr="004B249B" w:rsidRDefault="00EE758D" w:rsidP="00207A04">
            <w:pPr>
              <w:jc w:val="center"/>
              <w:rPr>
                <w:b/>
                <w:sz w:val="22"/>
                <w:szCs w:val="22"/>
              </w:rPr>
            </w:pPr>
            <w:r>
              <w:rPr>
                <w:b/>
                <w:sz w:val="22"/>
                <w:szCs w:val="22"/>
              </w:rPr>
              <w:t>£</w:t>
            </w:r>
          </w:p>
        </w:tc>
        <w:tc>
          <w:tcPr>
            <w:tcW w:w="1276" w:type="dxa"/>
          </w:tcPr>
          <w:p w:rsidR="00EE758D" w:rsidRPr="004B249B" w:rsidRDefault="00EE758D" w:rsidP="00207A04">
            <w:pPr>
              <w:jc w:val="center"/>
              <w:rPr>
                <w:b/>
                <w:sz w:val="22"/>
                <w:szCs w:val="22"/>
              </w:rPr>
            </w:pPr>
            <w:r w:rsidRPr="004B249B">
              <w:rPr>
                <w:b/>
                <w:sz w:val="22"/>
                <w:szCs w:val="22"/>
              </w:rPr>
              <w:t>2014/15 Estimate £</w:t>
            </w:r>
          </w:p>
        </w:tc>
        <w:tc>
          <w:tcPr>
            <w:tcW w:w="1134" w:type="dxa"/>
          </w:tcPr>
          <w:p w:rsidR="00EE758D" w:rsidRPr="004B249B" w:rsidRDefault="00EE758D" w:rsidP="00207A04">
            <w:pPr>
              <w:jc w:val="center"/>
              <w:rPr>
                <w:b/>
                <w:sz w:val="22"/>
                <w:szCs w:val="22"/>
              </w:rPr>
            </w:pPr>
            <w:r w:rsidRPr="004B249B">
              <w:rPr>
                <w:b/>
                <w:sz w:val="22"/>
                <w:szCs w:val="22"/>
              </w:rPr>
              <w:t>2015/16 Estimate £</w:t>
            </w:r>
          </w:p>
        </w:tc>
        <w:tc>
          <w:tcPr>
            <w:tcW w:w="1276" w:type="dxa"/>
          </w:tcPr>
          <w:p w:rsidR="00EE758D" w:rsidRPr="004B249B" w:rsidRDefault="00EE758D" w:rsidP="00207A04">
            <w:pPr>
              <w:jc w:val="center"/>
              <w:rPr>
                <w:b/>
                <w:sz w:val="22"/>
                <w:szCs w:val="22"/>
              </w:rPr>
            </w:pPr>
            <w:r w:rsidRPr="004B249B">
              <w:rPr>
                <w:b/>
                <w:sz w:val="22"/>
                <w:szCs w:val="22"/>
              </w:rPr>
              <w:t>2016/17 Estimate £</w:t>
            </w:r>
          </w:p>
        </w:tc>
        <w:tc>
          <w:tcPr>
            <w:tcW w:w="1184" w:type="dxa"/>
          </w:tcPr>
          <w:p w:rsidR="00EE758D" w:rsidRPr="004B249B" w:rsidRDefault="00EE758D" w:rsidP="00207A04">
            <w:pPr>
              <w:jc w:val="center"/>
              <w:rPr>
                <w:b/>
                <w:sz w:val="22"/>
                <w:szCs w:val="22"/>
              </w:rPr>
            </w:pPr>
            <w:r w:rsidRPr="004B249B">
              <w:rPr>
                <w:b/>
                <w:sz w:val="22"/>
                <w:szCs w:val="22"/>
              </w:rPr>
              <w:t>2017/18 Estimate £</w:t>
            </w:r>
          </w:p>
        </w:tc>
      </w:tr>
      <w:tr w:rsidR="00EE758D" w:rsidTr="00EE758D">
        <w:tc>
          <w:tcPr>
            <w:tcW w:w="2518" w:type="dxa"/>
          </w:tcPr>
          <w:p w:rsidR="00EE758D" w:rsidRPr="00EE758D" w:rsidRDefault="00EE758D" w:rsidP="007739D1">
            <w:r w:rsidRPr="00EE758D">
              <w:t>Overall net impact on Weekly Housing Rents</w:t>
            </w:r>
          </w:p>
        </w:tc>
        <w:tc>
          <w:tcPr>
            <w:tcW w:w="1134" w:type="dxa"/>
          </w:tcPr>
          <w:p w:rsidR="00EE758D" w:rsidRPr="00EE758D" w:rsidRDefault="00EE758D" w:rsidP="00EE758D">
            <w:pPr>
              <w:jc w:val="right"/>
            </w:pPr>
            <w:r w:rsidRPr="00EE758D">
              <w:t>1.34</w:t>
            </w:r>
          </w:p>
        </w:tc>
        <w:tc>
          <w:tcPr>
            <w:tcW w:w="1276" w:type="dxa"/>
          </w:tcPr>
          <w:p w:rsidR="00EE758D" w:rsidRPr="00EE758D" w:rsidRDefault="00EE758D" w:rsidP="00EE758D">
            <w:pPr>
              <w:jc w:val="right"/>
            </w:pPr>
            <w:r w:rsidRPr="00EE758D">
              <w:t>3.48</w:t>
            </w:r>
          </w:p>
        </w:tc>
        <w:tc>
          <w:tcPr>
            <w:tcW w:w="1134" w:type="dxa"/>
          </w:tcPr>
          <w:p w:rsidR="00EE758D" w:rsidRPr="00EE758D" w:rsidRDefault="00EE758D" w:rsidP="00EE758D">
            <w:pPr>
              <w:jc w:val="right"/>
            </w:pPr>
            <w:r w:rsidRPr="00EE758D">
              <w:t>2.59</w:t>
            </w:r>
          </w:p>
        </w:tc>
        <w:tc>
          <w:tcPr>
            <w:tcW w:w="1276" w:type="dxa"/>
          </w:tcPr>
          <w:p w:rsidR="00EE758D" w:rsidRPr="00EE758D" w:rsidRDefault="00EE758D" w:rsidP="00EE758D">
            <w:pPr>
              <w:jc w:val="right"/>
            </w:pPr>
            <w:r w:rsidRPr="00EE758D">
              <w:t>3.98</w:t>
            </w:r>
          </w:p>
        </w:tc>
        <w:tc>
          <w:tcPr>
            <w:tcW w:w="1184" w:type="dxa"/>
          </w:tcPr>
          <w:p w:rsidR="00EE758D" w:rsidRPr="00EE758D" w:rsidRDefault="00EE758D" w:rsidP="00EE758D">
            <w:pPr>
              <w:jc w:val="right"/>
            </w:pPr>
            <w:r w:rsidRPr="00EE758D">
              <w:t>4.42</w:t>
            </w:r>
          </w:p>
        </w:tc>
      </w:tr>
    </w:tbl>
    <w:p w:rsidR="00EE758D" w:rsidRPr="005C09CA" w:rsidRDefault="00EE758D" w:rsidP="007739D1">
      <w:pPr>
        <w:rPr>
          <w:b/>
        </w:rPr>
      </w:pPr>
    </w:p>
    <w:p w:rsidR="007739D1" w:rsidRPr="00360799" w:rsidRDefault="007739D1" w:rsidP="007739D1">
      <w:pPr>
        <w:rPr>
          <w:b/>
        </w:rPr>
      </w:pPr>
      <w:r w:rsidRPr="00360799">
        <w:rPr>
          <w:b/>
        </w:rPr>
        <w:t>E. Authorised limit for external debt</w:t>
      </w:r>
    </w:p>
    <w:p w:rsidR="007739D1" w:rsidRPr="00360799" w:rsidRDefault="007739D1" w:rsidP="001E7842">
      <w:pPr>
        <w:numPr>
          <w:ilvl w:val="0"/>
          <w:numId w:val="12"/>
        </w:numPr>
        <w:tabs>
          <w:tab w:val="num" w:pos="567"/>
        </w:tabs>
        <w:ind w:left="567" w:firstLine="0"/>
      </w:pPr>
      <w:r w:rsidRPr="00360799">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7739D1" w:rsidRPr="00896028" w:rsidRDefault="007739D1" w:rsidP="007739D1">
      <w:pPr>
        <w:ind w:left="360"/>
        <w:rPr>
          <w:color w:val="FF0000"/>
        </w:rPr>
      </w:pPr>
    </w:p>
    <w:p w:rsidR="007739D1" w:rsidRDefault="00A64E91" w:rsidP="007739D1">
      <w:pPr>
        <w:rPr>
          <w:b/>
          <w:color w:val="FF0000"/>
        </w:rPr>
      </w:pPr>
      <w:r>
        <w:rPr>
          <w:b/>
        </w:rPr>
        <w:t>Table 6</w:t>
      </w:r>
      <w:r w:rsidR="007739D1" w:rsidRPr="003C5A86">
        <w:rPr>
          <w:b/>
        </w:rPr>
        <w:t>:- Authorised Limit for external debt</w:t>
      </w:r>
      <w:r w:rsidR="007739D1">
        <w:rPr>
          <w:b/>
          <w:color w:val="FF0000"/>
        </w:rPr>
        <w:t xml:space="preserve"> </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t>General Fund</w:t>
            </w:r>
          </w:p>
        </w:tc>
        <w:tc>
          <w:tcPr>
            <w:tcW w:w="1134" w:type="dxa"/>
          </w:tcPr>
          <w:p w:rsidR="000E72E4" w:rsidRPr="000E72E4" w:rsidRDefault="000E72E4" w:rsidP="000E72E4">
            <w:pPr>
              <w:jc w:val="right"/>
            </w:pPr>
            <w:r>
              <w:t>5,000</w:t>
            </w:r>
          </w:p>
        </w:tc>
        <w:tc>
          <w:tcPr>
            <w:tcW w:w="1276" w:type="dxa"/>
          </w:tcPr>
          <w:p w:rsidR="000E72E4" w:rsidRPr="000E72E4" w:rsidRDefault="000E72E4" w:rsidP="000E72E4">
            <w:pPr>
              <w:jc w:val="right"/>
            </w:pPr>
            <w:r>
              <w:t>4,000</w:t>
            </w:r>
          </w:p>
        </w:tc>
        <w:tc>
          <w:tcPr>
            <w:tcW w:w="1134" w:type="dxa"/>
          </w:tcPr>
          <w:p w:rsidR="000E72E4" w:rsidRPr="000E72E4" w:rsidRDefault="000E72E4" w:rsidP="000E72E4">
            <w:pPr>
              <w:jc w:val="right"/>
            </w:pPr>
            <w:r>
              <w:t>2,000</w:t>
            </w:r>
          </w:p>
        </w:tc>
        <w:tc>
          <w:tcPr>
            <w:tcW w:w="1276" w:type="dxa"/>
          </w:tcPr>
          <w:p w:rsidR="000E72E4" w:rsidRPr="000E72E4" w:rsidRDefault="000E72E4" w:rsidP="000E72E4">
            <w:pPr>
              <w:jc w:val="right"/>
            </w:pPr>
            <w:r>
              <w:t>2,000</w:t>
            </w:r>
          </w:p>
        </w:tc>
        <w:tc>
          <w:tcPr>
            <w:tcW w:w="1184" w:type="dxa"/>
          </w:tcPr>
          <w:p w:rsidR="000E72E4" w:rsidRPr="000E72E4" w:rsidRDefault="000E72E4" w:rsidP="000E72E4">
            <w:pPr>
              <w:jc w:val="right"/>
            </w:pPr>
            <w:r>
              <w:t>2,000</w:t>
            </w:r>
          </w:p>
        </w:tc>
      </w:tr>
      <w:tr w:rsidR="000E72E4" w:rsidTr="000E72E4">
        <w:tc>
          <w:tcPr>
            <w:tcW w:w="2518" w:type="dxa"/>
          </w:tcPr>
          <w:p w:rsidR="000E72E4" w:rsidRPr="000E72E4" w:rsidRDefault="000E72E4" w:rsidP="007739D1">
            <w:r>
              <w:t>HRA</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245,566</w:t>
            </w:r>
          </w:p>
        </w:tc>
        <w:tc>
          <w:tcPr>
            <w:tcW w:w="1276" w:type="dxa"/>
          </w:tcPr>
          <w:p w:rsidR="000E72E4" w:rsidRPr="000E72E4" w:rsidRDefault="000E72E4" w:rsidP="000E72E4">
            <w:pPr>
              <w:jc w:val="right"/>
            </w:pPr>
            <w:r>
              <w:t>259,308</w:t>
            </w:r>
          </w:p>
        </w:tc>
        <w:tc>
          <w:tcPr>
            <w:tcW w:w="1184" w:type="dxa"/>
          </w:tcPr>
          <w:p w:rsidR="000E72E4" w:rsidRPr="000E72E4" w:rsidRDefault="000E72E4" w:rsidP="000E72E4">
            <w:pPr>
              <w:jc w:val="right"/>
            </w:pPr>
            <w:r>
              <w:t>273,163</w:t>
            </w:r>
          </w:p>
        </w:tc>
      </w:tr>
      <w:tr w:rsidR="000E72E4" w:rsidTr="000E72E4">
        <w:tc>
          <w:tcPr>
            <w:tcW w:w="2518" w:type="dxa"/>
          </w:tcPr>
          <w:p w:rsidR="000E72E4" w:rsidRPr="000E72E4" w:rsidRDefault="000E72E4" w:rsidP="007739D1">
            <w:r>
              <w:t>Other Long Term Liabilities</w:t>
            </w:r>
          </w:p>
        </w:tc>
        <w:tc>
          <w:tcPr>
            <w:tcW w:w="1134" w:type="dxa"/>
          </w:tcPr>
          <w:p w:rsidR="000E72E4" w:rsidRPr="000E72E4" w:rsidRDefault="000E72E4" w:rsidP="000E72E4">
            <w:pPr>
              <w:jc w:val="right"/>
            </w:pPr>
            <w:r>
              <w:t>1,000</w:t>
            </w:r>
          </w:p>
        </w:tc>
        <w:tc>
          <w:tcPr>
            <w:tcW w:w="1276" w:type="dxa"/>
          </w:tcPr>
          <w:p w:rsidR="000E72E4" w:rsidRPr="000E72E4" w:rsidRDefault="000E72E4" w:rsidP="000E72E4">
            <w:pPr>
              <w:jc w:val="right"/>
            </w:pPr>
            <w:r>
              <w:t>0</w:t>
            </w:r>
          </w:p>
        </w:tc>
        <w:tc>
          <w:tcPr>
            <w:tcW w:w="1134" w:type="dxa"/>
          </w:tcPr>
          <w:p w:rsidR="000E72E4" w:rsidRPr="000E72E4" w:rsidRDefault="000E72E4" w:rsidP="000E72E4">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RPr="000E72E4" w:rsidTr="000E72E4">
        <w:tc>
          <w:tcPr>
            <w:tcW w:w="2518" w:type="dxa"/>
          </w:tcPr>
          <w:p w:rsidR="000E72E4" w:rsidRPr="000E72E4" w:rsidRDefault="000E72E4" w:rsidP="007739D1">
            <w:pPr>
              <w:rPr>
                <w:b/>
              </w:rPr>
            </w:pPr>
            <w:r w:rsidRPr="000E72E4">
              <w:rPr>
                <w:b/>
              </w:rPr>
              <w:t>Total</w:t>
            </w:r>
          </w:p>
        </w:tc>
        <w:tc>
          <w:tcPr>
            <w:tcW w:w="1134" w:type="dxa"/>
          </w:tcPr>
          <w:p w:rsidR="000E72E4" w:rsidRPr="000E72E4" w:rsidRDefault="000E72E4" w:rsidP="000E72E4">
            <w:pPr>
              <w:jc w:val="right"/>
              <w:rPr>
                <w:b/>
              </w:rPr>
            </w:pPr>
            <w:r w:rsidRPr="000E72E4">
              <w:rPr>
                <w:b/>
              </w:rPr>
              <w:t>248,199</w:t>
            </w:r>
          </w:p>
        </w:tc>
        <w:tc>
          <w:tcPr>
            <w:tcW w:w="1276" w:type="dxa"/>
          </w:tcPr>
          <w:p w:rsidR="000E72E4" w:rsidRPr="000E72E4" w:rsidRDefault="000E72E4" w:rsidP="000E72E4">
            <w:pPr>
              <w:jc w:val="right"/>
              <w:rPr>
                <w:b/>
              </w:rPr>
            </w:pPr>
            <w:r w:rsidRPr="000E72E4">
              <w:rPr>
                <w:b/>
              </w:rPr>
              <w:t>246,199</w:t>
            </w:r>
          </w:p>
        </w:tc>
        <w:tc>
          <w:tcPr>
            <w:tcW w:w="1134" w:type="dxa"/>
          </w:tcPr>
          <w:p w:rsidR="000E72E4" w:rsidRPr="000E72E4" w:rsidRDefault="000E72E4" w:rsidP="000E72E4">
            <w:pPr>
              <w:jc w:val="right"/>
              <w:rPr>
                <w:b/>
              </w:rPr>
            </w:pPr>
            <w:r w:rsidRPr="000E72E4">
              <w:rPr>
                <w:b/>
              </w:rPr>
              <w:t>247,566</w:t>
            </w:r>
          </w:p>
        </w:tc>
        <w:tc>
          <w:tcPr>
            <w:tcW w:w="1276" w:type="dxa"/>
          </w:tcPr>
          <w:p w:rsidR="000E72E4" w:rsidRPr="000E72E4" w:rsidRDefault="000E72E4" w:rsidP="000E72E4">
            <w:pPr>
              <w:jc w:val="right"/>
              <w:rPr>
                <w:b/>
              </w:rPr>
            </w:pPr>
            <w:r w:rsidRPr="000E72E4">
              <w:rPr>
                <w:b/>
              </w:rPr>
              <w:t>261,308</w:t>
            </w:r>
          </w:p>
        </w:tc>
        <w:tc>
          <w:tcPr>
            <w:tcW w:w="1184" w:type="dxa"/>
          </w:tcPr>
          <w:p w:rsidR="000E72E4" w:rsidRPr="000E72E4" w:rsidRDefault="000E72E4" w:rsidP="000E72E4">
            <w:pPr>
              <w:jc w:val="right"/>
              <w:rPr>
                <w:b/>
              </w:rPr>
            </w:pPr>
            <w:r w:rsidRPr="000E72E4">
              <w:rPr>
                <w:b/>
              </w:rPr>
              <w:t>275,163</w:t>
            </w:r>
          </w:p>
        </w:tc>
      </w:tr>
    </w:tbl>
    <w:p w:rsidR="000E72E4" w:rsidRDefault="000E72E4" w:rsidP="007739D1">
      <w:pPr>
        <w:rPr>
          <w:b/>
          <w:color w:val="FF0000"/>
        </w:rPr>
      </w:pPr>
    </w:p>
    <w:p w:rsidR="007739D1" w:rsidRPr="00896028" w:rsidRDefault="007739D1" w:rsidP="007739D1">
      <w:pPr>
        <w:ind w:hanging="540"/>
        <w:jc w:val="right"/>
        <w:rPr>
          <w:b/>
          <w:color w:val="FF0000"/>
        </w:rPr>
      </w:pPr>
    </w:p>
    <w:p w:rsidR="007739D1" w:rsidRDefault="007739D1" w:rsidP="007739D1">
      <w:pPr>
        <w:numPr>
          <w:ilvl w:val="0"/>
          <w:numId w:val="12"/>
        </w:numPr>
      </w:pPr>
      <w:r w:rsidRPr="00360799">
        <w:t xml:space="preserve">Separately, the Council is also limited to a </w:t>
      </w:r>
      <w:r w:rsidRPr="00827709">
        <w:t xml:space="preserve">maximum HRA CFR through the HRA self-financing regime.  </w:t>
      </w:r>
      <w:r w:rsidR="00CE4DBE">
        <w:t xml:space="preserve">The Council intends to utilise this headroom over the next three years to fund the Capital Programme, it is considered prudent to withhold £10m of the borrowing headroom as a contingency for potential changes in capital costs and interest charges.  </w:t>
      </w:r>
      <w:r>
        <w:t>The</w:t>
      </w:r>
      <w:r w:rsidRPr="00827709">
        <w:t>s</w:t>
      </w:r>
      <w:r>
        <w:t>e</w:t>
      </w:r>
      <w:r w:rsidRPr="00827709">
        <w:t xml:space="preserve"> limit</w:t>
      </w:r>
      <w:r>
        <w:t>s are:</w:t>
      </w:r>
    </w:p>
    <w:p w:rsidR="007739D1" w:rsidRDefault="007739D1" w:rsidP="007739D1"/>
    <w:p w:rsidR="007739D1" w:rsidRDefault="00CE4DBE" w:rsidP="007739D1">
      <w:pPr>
        <w:rPr>
          <w:b/>
        </w:rPr>
      </w:pPr>
      <w:r>
        <w:rPr>
          <w:b/>
        </w:rPr>
        <w:t>Table 7:</w:t>
      </w:r>
      <w:r w:rsidR="007739D1" w:rsidRPr="000C579C">
        <w:rPr>
          <w:b/>
        </w:rPr>
        <w:t xml:space="preserve"> HRA Capital Financing Requir</w:t>
      </w:r>
      <w:r w:rsidR="007739D1">
        <w:rPr>
          <w:b/>
        </w:rPr>
        <w:t>e</w:t>
      </w:r>
      <w:r w:rsidR="007739D1" w:rsidRPr="000C579C">
        <w:rPr>
          <w:b/>
        </w:rPr>
        <w:t>ment</w:t>
      </w:r>
    </w:p>
    <w:tbl>
      <w:tblPr>
        <w:tblStyle w:val="TableGrid"/>
        <w:tblW w:w="0" w:type="auto"/>
        <w:tblLook w:val="04A0" w:firstRow="1" w:lastRow="0" w:firstColumn="1" w:lastColumn="0" w:noHBand="0" w:noVBand="1"/>
      </w:tblPr>
      <w:tblGrid>
        <w:gridCol w:w="2518"/>
        <w:gridCol w:w="1134"/>
        <w:gridCol w:w="1276"/>
        <w:gridCol w:w="1134"/>
        <w:gridCol w:w="1276"/>
        <w:gridCol w:w="1184"/>
      </w:tblGrid>
      <w:tr w:rsidR="000E72E4" w:rsidTr="000E72E4">
        <w:tc>
          <w:tcPr>
            <w:tcW w:w="2518" w:type="dxa"/>
          </w:tcPr>
          <w:p w:rsidR="000E72E4" w:rsidRPr="000E72E4" w:rsidRDefault="000E72E4" w:rsidP="007739D1">
            <w:r w:rsidRPr="000E72E4">
              <w:t>HRA Debt Limit</w:t>
            </w: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518" w:type="dxa"/>
          </w:tcPr>
          <w:p w:rsidR="000E72E4" w:rsidRPr="000E72E4" w:rsidRDefault="000E72E4" w:rsidP="007739D1">
            <w:r w:rsidRPr="000E72E4">
              <w:t>Total</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34" w:type="dxa"/>
          </w:tcPr>
          <w:p w:rsidR="000E72E4" w:rsidRPr="000E72E4" w:rsidRDefault="000E72E4" w:rsidP="000E72E4">
            <w:pPr>
              <w:jc w:val="right"/>
            </w:pPr>
            <w:r>
              <w:t>242,199</w:t>
            </w:r>
          </w:p>
        </w:tc>
        <w:tc>
          <w:tcPr>
            <w:tcW w:w="1276" w:type="dxa"/>
          </w:tcPr>
          <w:p w:rsidR="000E72E4" w:rsidRPr="000E72E4" w:rsidRDefault="000E72E4" w:rsidP="000E72E4">
            <w:pPr>
              <w:jc w:val="right"/>
            </w:pPr>
            <w:r>
              <w:t>242,199</w:t>
            </w:r>
          </w:p>
        </w:tc>
        <w:tc>
          <w:tcPr>
            <w:tcW w:w="1184" w:type="dxa"/>
          </w:tcPr>
          <w:p w:rsidR="000E72E4" w:rsidRPr="000E72E4" w:rsidRDefault="000E72E4" w:rsidP="000E72E4">
            <w:pPr>
              <w:jc w:val="right"/>
            </w:pPr>
            <w:r>
              <w:t>242,199</w:t>
            </w:r>
          </w:p>
        </w:tc>
      </w:tr>
    </w:tbl>
    <w:p w:rsidR="000E72E4" w:rsidRPr="000C579C" w:rsidRDefault="000E72E4" w:rsidP="007739D1">
      <w:pPr>
        <w:rPr>
          <w:b/>
        </w:rPr>
      </w:pPr>
    </w:p>
    <w:p w:rsidR="007739D1" w:rsidRPr="00360799" w:rsidRDefault="007739D1" w:rsidP="007739D1">
      <w:pPr>
        <w:rPr>
          <w:b/>
        </w:rPr>
      </w:pPr>
      <w:r w:rsidRPr="00360799">
        <w:rPr>
          <w:b/>
        </w:rPr>
        <w:t>F. Operational boundary for external debt</w:t>
      </w:r>
    </w:p>
    <w:p w:rsidR="007739D1" w:rsidRPr="00360799" w:rsidRDefault="007739D1" w:rsidP="007739D1">
      <w:pPr>
        <w:numPr>
          <w:ilvl w:val="0"/>
          <w:numId w:val="12"/>
        </w:numPr>
        <w:ind w:hanging="540"/>
      </w:pPr>
      <w:r w:rsidRPr="00360799">
        <w:t>This is based on the expected maximum external debt during the course of the year, it is not a limit, and actual external debt can vary around this boundary for short times during the year.</w:t>
      </w:r>
    </w:p>
    <w:p w:rsidR="007739D1" w:rsidRDefault="007739D1" w:rsidP="007739D1">
      <w:pPr>
        <w:ind w:left="360"/>
        <w:rPr>
          <w:color w:val="FF0000"/>
        </w:rPr>
      </w:pPr>
    </w:p>
    <w:p w:rsidR="007739D1" w:rsidRDefault="00CE4DBE" w:rsidP="007739D1">
      <w:pPr>
        <w:ind w:left="360"/>
        <w:rPr>
          <w:b/>
        </w:rPr>
      </w:pPr>
      <w:r>
        <w:rPr>
          <w:b/>
        </w:rPr>
        <w:t>Table 8</w:t>
      </w:r>
      <w:r w:rsidR="007739D1" w:rsidRPr="003C5A86">
        <w:rPr>
          <w:b/>
        </w:rPr>
        <w:t xml:space="preserve">:- Operational boundary for external debt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0E72E4" w:rsidTr="000E72E4">
        <w:tc>
          <w:tcPr>
            <w:tcW w:w="2158" w:type="dxa"/>
          </w:tcPr>
          <w:p w:rsidR="000E72E4" w:rsidRDefault="000E72E4" w:rsidP="007739D1">
            <w:pPr>
              <w:rPr>
                <w:b/>
                <w:color w:val="FF0000"/>
              </w:rPr>
            </w:pPr>
          </w:p>
        </w:tc>
        <w:tc>
          <w:tcPr>
            <w:tcW w:w="1134" w:type="dxa"/>
          </w:tcPr>
          <w:p w:rsidR="000E72E4" w:rsidRPr="004B249B" w:rsidRDefault="000E72E4" w:rsidP="00207A04">
            <w:pPr>
              <w:jc w:val="center"/>
              <w:rPr>
                <w:b/>
                <w:sz w:val="22"/>
                <w:szCs w:val="22"/>
              </w:rPr>
            </w:pPr>
            <w:r w:rsidRPr="004B249B">
              <w:rPr>
                <w:b/>
                <w:sz w:val="22"/>
                <w:szCs w:val="22"/>
              </w:rPr>
              <w:t>2013/14 Actual £000’s</w:t>
            </w:r>
          </w:p>
        </w:tc>
        <w:tc>
          <w:tcPr>
            <w:tcW w:w="1276" w:type="dxa"/>
          </w:tcPr>
          <w:p w:rsidR="000E72E4" w:rsidRPr="004B249B" w:rsidRDefault="000E72E4" w:rsidP="00207A04">
            <w:pPr>
              <w:jc w:val="center"/>
              <w:rPr>
                <w:b/>
                <w:sz w:val="22"/>
                <w:szCs w:val="22"/>
              </w:rPr>
            </w:pPr>
            <w:r w:rsidRPr="004B249B">
              <w:rPr>
                <w:b/>
                <w:sz w:val="22"/>
                <w:szCs w:val="22"/>
              </w:rPr>
              <w:t>2014/15 Estimate £000’s</w:t>
            </w:r>
          </w:p>
        </w:tc>
        <w:tc>
          <w:tcPr>
            <w:tcW w:w="1134" w:type="dxa"/>
          </w:tcPr>
          <w:p w:rsidR="000E72E4" w:rsidRPr="004B249B" w:rsidRDefault="000E72E4" w:rsidP="00207A04">
            <w:pPr>
              <w:jc w:val="center"/>
              <w:rPr>
                <w:b/>
                <w:sz w:val="22"/>
                <w:szCs w:val="22"/>
              </w:rPr>
            </w:pPr>
            <w:r w:rsidRPr="004B249B">
              <w:rPr>
                <w:b/>
                <w:sz w:val="22"/>
                <w:szCs w:val="22"/>
              </w:rPr>
              <w:t>2015/16 Estimate £000’s</w:t>
            </w:r>
          </w:p>
        </w:tc>
        <w:tc>
          <w:tcPr>
            <w:tcW w:w="1276" w:type="dxa"/>
          </w:tcPr>
          <w:p w:rsidR="000E72E4" w:rsidRPr="004B249B" w:rsidRDefault="000E72E4" w:rsidP="00207A04">
            <w:pPr>
              <w:jc w:val="center"/>
              <w:rPr>
                <w:b/>
                <w:sz w:val="22"/>
                <w:szCs w:val="22"/>
              </w:rPr>
            </w:pPr>
            <w:r w:rsidRPr="004B249B">
              <w:rPr>
                <w:b/>
                <w:sz w:val="22"/>
                <w:szCs w:val="22"/>
              </w:rPr>
              <w:t>2016/17 Estimate £000’s</w:t>
            </w:r>
          </w:p>
        </w:tc>
        <w:tc>
          <w:tcPr>
            <w:tcW w:w="1184" w:type="dxa"/>
          </w:tcPr>
          <w:p w:rsidR="000E72E4" w:rsidRPr="004B249B" w:rsidRDefault="000E72E4" w:rsidP="00207A04">
            <w:pPr>
              <w:jc w:val="center"/>
              <w:rPr>
                <w:b/>
                <w:sz w:val="22"/>
                <w:szCs w:val="22"/>
              </w:rPr>
            </w:pPr>
            <w:r w:rsidRPr="004B249B">
              <w:rPr>
                <w:b/>
                <w:sz w:val="22"/>
                <w:szCs w:val="22"/>
              </w:rPr>
              <w:t>2017/18 Estimate £000’s</w:t>
            </w:r>
          </w:p>
        </w:tc>
      </w:tr>
      <w:tr w:rsidR="000E72E4" w:rsidTr="000E72E4">
        <w:tc>
          <w:tcPr>
            <w:tcW w:w="2158" w:type="dxa"/>
          </w:tcPr>
          <w:p w:rsidR="000E72E4" w:rsidRPr="000E72E4" w:rsidRDefault="000E72E4" w:rsidP="007739D1">
            <w:r w:rsidRPr="000E72E4">
              <w:t>Borrowing</w:t>
            </w:r>
          </w:p>
        </w:tc>
        <w:tc>
          <w:tcPr>
            <w:tcW w:w="1134" w:type="dxa"/>
          </w:tcPr>
          <w:p w:rsidR="000E72E4" w:rsidRPr="000E72E4" w:rsidRDefault="000E72E4" w:rsidP="000E72E4">
            <w:pPr>
              <w:jc w:val="right"/>
            </w:pPr>
            <w:r>
              <w:t>3,000</w:t>
            </w:r>
          </w:p>
        </w:tc>
        <w:tc>
          <w:tcPr>
            <w:tcW w:w="1276" w:type="dxa"/>
          </w:tcPr>
          <w:p w:rsidR="000E72E4" w:rsidRPr="000E72E4" w:rsidRDefault="000E72E4" w:rsidP="000E72E4">
            <w:pPr>
              <w:jc w:val="right"/>
            </w:pPr>
            <w:r>
              <w:t>2,000</w:t>
            </w:r>
          </w:p>
        </w:tc>
        <w:tc>
          <w:tcPr>
            <w:tcW w:w="1134" w:type="dxa"/>
          </w:tcPr>
          <w:p w:rsidR="000E72E4" w:rsidRPr="000E72E4" w:rsidRDefault="000E72E4" w:rsidP="00844EF9">
            <w:pPr>
              <w:jc w:val="right"/>
            </w:pPr>
            <w:r>
              <w:t>0</w:t>
            </w:r>
          </w:p>
        </w:tc>
        <w:tc>
          <w:tcPr>
            <w:tcW w:w="1276" w:type="dxa"/>
          </w:tcPr>
          <w:p w:rsidR="000E72E4" w:rsidRPr="000E72E4" w:rsidRDefault="000E72E4" w:rsidP="000E72E4">
            <w:pPr>
              <w:jc w:val="right"/>
            </w:pPr>
            <w:r>
              <w:t>0</w:t>
            </w:r>
          </w:p>
        </w:tc>
        <w:tc>
          <w:tcPr>
            <w:tcW w:w="1184" w:type="dxa"/>
          </w:tcPr>
          <w:p w:rsidR="000E72E4" w:rsidRPr="000E72E4" w:rsidRDefault="000E72E4" w:rsidP="000E72E4">
            <w:pPr>
              <w:jc w:val="right"/>
            </w:pPr>
            <w:r>
              <w:t>0</w:t>
            </w:r>
          </w:p>
        </w:tc>
      </w:tr>
      <w:tr w:rsidR="000E72E4" w:rsidTr="000E72E4">
        <w:tc>
          <w:tcPr>
            <w:tcW w:w="2158" w:type="dxa"/>
          </w:tcPr>
          <w:p w:rsidR="000E72E4" w:rsidRPr="000E72E4" w:rsidRDefault="000E72E4" w:rsidP="007739D1">
            <w:r w:rsidRPr="000E72E4">
              <w:t>Additional HRA Settlement</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234,000</w:t>
            </w:r>
          </w:p>
        </w:tc>
        <w:tc>
          <w:tcPr>
            <w:tcW w:w="1134" w:type="dxa"/>
          </w:tcPr>
          <w:p w:rsidR="000E72E4" w:rsidRPr="000E72E4" w:rsidRDefault="00844EF9" w:rsidP="000E72E4">
            <w:pPr>
              <w:jc w:val="right"/>
            </w:pPr>
            <w:r>
              <w:t>234,000</w:t>
            </w:r>
          </w:p>
        </w:tc>
        <w:tc>
          <w:tcPr>
            <w:tcW w:w="1276" w:type="dxa"/>
          </w:tcPr>
          <w:p w:rsidR="000E72E4" w:rsidRPr="000E72E4" w:rsidRDefault="00844EF9" w:rsidP="000E72E4">
            <w:pPr>
              <w:jc w:val="right"/>
            </w:pPr>
            <w:r>
              <w:t>240,000</w:t>
            </w:r>
          </w:p>
        </w:tc>
        <w:tc>
          <w:tcPr>
            <w:tcW w:w="1184" w:type="dxa"/>
          </w:tcPr>
          <w:p w:rsidR="000E72E4" w:rsidRPr="000E72E4" w:rsidRDefault="00844EF9" w:rsidP="000E72E4">
            <w:pPr>
              <w:jc w:val="right"/>
            </w:pPr>
            <w:r>
              <w:t>255,000</w:t>
            </w:r>
          </w:p>
        </w:tc>
      </w:tr>
      <w:tr w:rsidR="000E72E4" w:rsidTr="000E72E4">
        <w:tc>
          <w:tcPr>
            <w:tcW w:w="2158" w:type="dxa"/>
          </w:tcPr>
          <w:p w:rsidR="000E72E4" w:rsidRPr="000E72E4" w:rsidRDefault="000E72E4" w:rsidP="007739D1">
            <w:r w:rsidRPr="000E72E4">
              <w:t>Other Long Term Liabilities</w:t>
            </w:r>
          </w:p>
        </w:tc>
        <w:tc>
          <w:tcPr>
            <w:tcW w:w="1134" w:type="dxa"/>
          </w:tcPr>
          <w:p w:rsidR="000E72E4" w:rsidRPr="000E72E4" w:rsidRDefault="00844EF9" w:rsidP="000E72E4">
            <w:pPr>
              <w:jc w:val="right"/>
            </w:pPr>
            <w:r>
              <w:t>1,000</w:t>
            </w:r>
          </w:p>
        </w:tc>
        <w:tc>
          <w:tcPr>
            <w:tcW w:w="1276" w:type="dxa"/>
          </w:tcPr>
          <w:p w:rsidR="000E72E4" w:rsidRPr="000E72E4" w:rsidRDefault="00844EF9" w:rsidP="000E72E4">
            <w:pPr>
              <w:jc w:val="right"/>
            </w:pPr>
            <w:r>
              <w:t>0</w:t>
            </w:r>
          </w:p>
        </w:tc>
        <w:tc>
          <w:tcPr>
            <w:tcW w:w="1134" w:type="dxa"/>
          </w:tcPr>
          <w:p w:rsidR="000E72E4" w:rsidRPr="000E72E4" w:rsidRDefault="00844EF9" w:rsidP="000E72E4">
            <w:pPr>
              <w:jc w:val="right"/>
            </w:pPr>
            <w:r>
              <w:t>0</w:t>
            </w:r>
          </w:p>
        </w:tc>
        <w:tc>
          <w:tcPr>
            <w:tcW w:w="1276" w:type="dxa"/>
          </w:tcPr>
          <w:p w:rsidR="000E72E4" w:rsidRPr="000E72E4" w:rsidRDefault="00844EF9" w:rsidP="000E72E4">
            <w:pPr>
              <w:jc w:val="right"/>
            </w:pPr>
            <w:r>
              <w:t>0</w:t>
            </w:r>
          </w:p>
        </w:tc>
        <w:tc>
          <w:tcPr>
            <w:tcW w:w="1184" w:type="dxa"/>
          </w:tcPr>
          <w:p w:rsidR="000E72E4" w:rsidRPr="000E72E4" w:rsidRDefault="00844EF9" w:rsidP="000E72E4">
            <w:pPr>
              <w:jc w:val="right"/>
            </w:pPr>
            <w:r>
              <w:t>0</w:t>
            </w:r>
          </w:p>
        </w:tc>
      </w:tr>
      <w:tr w:rsidR="000E72E4" w:rsidTr="000E72E4">
        <w:tc>
          <w:tcPr>
            <w:tcW w:w="2158" w:type="dxa"/>
          </w:tcPr>
          <w:p w:rsidR="000E72E4" w:rsidRPr="000E72E4" w:rsidRDefault="000E72E4" w:rsidP="007739D1">
            <w:pPr>
              <w:rPr>
                <w:b/>
              </w:rPr>
            </w:pPr>
            <w:r w:rsidRPr="000E72E4">
              <w:rPr>
                <w:b/>
              </w:rPr>
              <w:t>Total</w:t>
            </w:r>
          </w:p>
        </w:tc>
        <w:tc>
          <w:tcPr>
            <w:tcW w:w="1134" w:type="dxa"/>
          </w:tcPr>
          <w:p w:rsidR="000E72E4" w:rsidRPr="000E72E4" w:rsidRDefault="00844EF9" w:rsidP="000E72E4">
            <w:pPr>
              <w:jc w:val="right"/>
              <w:rPr>
                <w:b/>
              </w:rPr>
            </w:pPr>
            <w:r>
              <w:rPr>
                <w:b/>
              </w:rPr>
              <w:t>238,000</w:t>
            </w:r>
          </w:p>
        </w:tc>
        <w:tc>
          <w:tcPr>
            <w:tcW w:w="1276" w:type="dxa"/>
          </w:tcPr>
          <w:p w:rsidR="000E72E4" w:rsidRPr="000E72E4" w:rsidRDefault="00844EF9" w:rsidP="000E72E4">
            <w:pPr>
              <w:jc w:val="right"/>
              <w:rPr>
                <w:b/>
              </w:rPr>
            </w:pPr>
            <w:r>
              <w:rPr>
                <w:b/>
              </w:rPr>
              <w:t>236,000</w:t>
            </w:r>
          </w:p>
        </w:tc>
        <w:tc>
          <w:tcPr>
            <w:tcW w:w="1134" w:type="dxa"/>
          </w:tcPr>
          <w:p w:rsidR="000E72E4" w:rsidRPr="000E72E4" w:rsidRDefault="00844EF9" w:rsidP="000E72E4">
            <w:pPr>
              <w:jc w:val="right"/>
              <w:rPr>
                <w:b/>
              </w:rPr>
            </w:pPr>
            <w:r>
              <w:rPr>
                <w:b/>
              </w:rPr>
              <w:t>234,000</w:t>
            </w:r>
          </w:p>
        </w:tc>
        <w:tc>
          <w:tcPr>
            <w:tcW w:w="1276" w:type="dxa"/>
          </w:tcPr>
          <w:p w:rsidR="000E72E4" w:rsidRPr="000E72E4" w:rsidRDefault="00844EF9" w:rsidP="000E72E4">
            <w:pPr>
              <w:jc w:val="right"/>
              <w:rPr>
                <w:b/>
              </w:rPr>
            </w:pPr>
            <w:r>
              <w:rPr>
                <w:b/>
              </w:rPr>
              <w:t>240,000</w:t>
            </w:r>
          </w:p>
        </w:tc>
        <w:tc>
          <w:tcPr>
            <w:tcW w:w="1184" w:type="dxa"/>
          </w:tcPr>
          <w:p w:rsidR="000E72E4" w:rsidRPr="000E72E4" w:rsidRDefault="00844EF9" w:rsidP="000E72E4">
            <w:pPr>
              <w:jc w:val="right"/>
              <w:rPr>
                <w:b/>
              </w:rPr>
            </w:pPr>
            <w:r>
              <w:rPr>
                <w:b/>
              </w:rPr>
              <w:t>255,000</w:t>
            </w:r>
          </w:p>
        </w:tc>
      </w:tr>
    </w:tbl>
    <w:p w:rsidR="000E72E4" w:rsidRPr="00896028" w:rsidRDefault="000E72E4" w:rsidP="007739D1">
      <w:pPr>
        <w:ind w:left="360"/>
        <w:rPr>
          <w:b/>
          <w:color w:val="FF0000"/>
        </w:rPr>
      </w:pPr>
    </w:p>
    <w:p w:rsidR="007739D1" w:rsidRPr="00896028" w:rsidRDefault="007739D1" w:rsidP="007739D1">
      <w:pPr>
        <w:ind w:left="360"/>
        <w:rPr>
          <w:color w:val="FF0000"/>
        </w:rPr>
      </w:pPr>
    </w:p>
    <w:p w:rsidR="007739D1" w:rsidRPr="00896028" w:rsidRDefault="007739D1" w:rsidP="007739D1">
      <w:pPr>
        <w:rPr>
          <w:b/>
          <w:color w:val="FF0000"/>
        </w:rPr>
      </w:pPr>
    </w:p>
    <w:p w:rsidR="007739D1" w:rsidRPr="00360799" w:rsidRDefault="007739D1" w:rsidP="007739D1">
      <w:pPr>
        <w:ind w:left="720" w:hanging="360"/>
        <w:rPr>
          <w:b/>
        </w:rPr>
      </w:pPr>
      <w:r w:rsidRPr="00360799">
        <w:rPr>
          <w:b/>
        </w:rPr>
        <w:t>G. Net Borrowing Compared to the Council’s Capital Financing Requirement</w:t>
      </w:r>
    </w:p>
    <w:p w:rsidR="007739D1" w:rsidRPr="00360799" w:rsidRDefault="007739D1" w:rsidP="007739D1">
      <w:pPr>
        <w:numPr>
          <w:ilvl w:val="0"/>
          <w:numId w:val="12"/>
        </w:numPr>
        <w:ind w:hanging="540"/>
      </w:pPr>
      <w:r>
        <w:t>T</w:t>
      </w:r>
      <w:r w:rsidRPr="00360799">
        <w:t>able</w:t>
      </w:r>
      <w:r w:rsidR="00CE4DBE">
        <w:t xml:space="preserve"> 9</w:t>
      </w:r>
      <w:r w:rsidRPr="00360799">
        <w:t xml:space="preserve"> below shows the Council’s net borrowing position compared to its Capital Financing Requirement.  As can be seen, the figures show that the Council is currently borrowing below its financing requirement which indicates a need to borrow in the short to medium term.  The Council needs to ensure that its total borrowing net of any investments, does not, except in the short term, exceed the total of the CFR in the preceding year plus the estimates of any additional CFR for 201</w:t>
      </w:r>
      <w:r w:rsidR="00CE4DBE">
        <w:t>5</w:t>
      </w:r>
      <w:r w:rsidRPr="00360799">
        <w:t>/1</w:t>
      </w:r>
      <w:r w:rsidR="00CE4DBE">
        <w:t>6</w:t>
      </w:r>
      <w:r w:rsidRPr="00360799">
        <w:t xml:space="preserve"> and the next two financial years.  This allows some flexibility for limited early borrowing for future years.</w:t>
      </w:r>
    </w:p>
    <w:p w:rsidR="007739D1" w:rsidRDefault="007739D1" w:rsidP="007739D1">
      <w:pPr>
        <w:ind w:left="360"/>
        <w:rPr>
          <w:b/>
        </w:rPr>
      </w:pPr>
    </w:p>
    <w:p w:rsidR="00CE4DBE" w:rsidRDefault="00CE4DBE" w:rsidP="007739D1">
      <w:pPr>
        <w:ind w:left="360"/>
        <w:rPr>
          <w:b/>
        </w:rPr>
      </w:pPr>
    </w:p>
    <w:p w:rsidR="007739D1" w:rsidRDefault="00CE4DBE" w:rsidP="007739D1">
      <w:pPr>
        <w:ind w:left="360"/>
      </w:pPr>
      <w:r>
        <w:rPr>
          <w:b/>
        </w:rPr>
        <w:t>Table 9</w:t>
      </w:r>
      <w:r w:rsidR="007739D1" w:rsidRPr="00827709">
        <w:rPr>
          <w:b/>
        </w:rPr>
        <w:t>:- Net borrowing compared to CFR</w:t>
      </w:r>
      <w:r w:rsidR="007739D1" w:rsidRPr="00827709">
        <w:t xml:space="preserve"> </w:t>
      </w:r>
    </w:p>
    <w:tbl>
      <w:tblPr>
        <w:tblStyle w:val="TableGrid"/>
        <w:tblW w:w="0" w:type="auto"/>
        <w:tblInd w:w="360" w:type="dxa"/>
        <w:tblLook w:val="04A0" w:firstRow="1" w:lastRow="0" w:firstColumn="1" w:lastColumn="0" w:noHBand="0" w:noVBand="1"/>
      </w:tblPr>
      <w:tblGrid>
        <w:gridCol w:w="2158"/>
        <w:gridCol w:w="1134"/>
        <w:gridCol w:w="1276"/>
        <w:gridCol w:w="1134"/>
        <w:gridCol w:w="1276"/>
        <w:gridCol w:w="1184"/>
      </w:tblGrid>
      <w:tr w:rsidR="00844EF9" w:rsidTr="00844EF9">
        <w:tc>
          <w:tcPr>
            <w:tcW w:w="2158" w:type="dxa"/>
          </w:tcPr>
          <w:p w:rsidR="00844EF9" w:rsidRDefault="00844EF9" w:rsidP="007739D1"/>
        </w:tc>
        <w:tc>
          <w:tcPr>
            <w:tcW w:w="1134" w:type="dxa"/>
          </w:tcPr>
          <w:p w:rsidR="00844EF9" w:rsidRPr="004B249B" w:rsidRDefault="00844EF9" w:rsidP="00207A04">
            <w:pPr>
              <w:jc w:val="center"/>
              <w:rPr>
                <w:b/>
                <w:sz w:val="22"/>
                <w:szCs w:val="22"/>
              </w:rPr>
            </w:pPr>
            <w:r w:rsidRPr="004B249B">
              <w:rPr>
                <w:b/>
                <w:sz w:val="22"/>
                <w:szCs w:val="22"/>
              </w:rPr>
              <w:t>2013/14 Actual £000’s</w:t>
            </w:r>
          </w:p>
        </w:tc>
        <w:tc>
          <w:tcPr>
            <w:tcW w:w="1276" w:type="dxa"/>
          </w:tcPr>
          <w:p w:rsidR="00844EF9" w:rsidRPr="004B249B" w:rsidRDefault="00844EF9" w:rsidP="00207A04">
            <w:pPr>
              <w:jc w:val="center"/>
              <w:rPr>
                <w:b/>
                <w:sz w:val="22"/>
                <w:szCs w:val="22"/>
              </w:rPr>
            </w:pPr>
            <w:r w:rsidRPr="004B249B">
              <w:rPr>
                <w:b/>
                <w:sz w:val="22"/>
                <w:szCs w:val="22"/>
              </w:rPr>
              <w:t>2014/15 Estimate £000’s</w:t>
            </w:r>
          </w:p>
        </w:tc>
        <w:tc>
          <w:tcPr>
            <w:tcW w:w="1134" w:type="dxa"/>
          </w:tcPr>
          <w:p w:rsidR="00844EF9" w:rsidRPr="004B249B" w:rsidRDefault="00844EF9" w:rsidP="00207A04">
            <w:pPr>
              <w:jc w:val="center"/>
              <w:rPr>
                <w:b/>
                <w:sz w:val="22"/>
                <w:szCs w:val="22"/>
              </w:rPr>
            </w:pPr>
            <w:r w:rsidRPr="004B249B">
              <w:rPr>
                <w:b/>
                <w:sz w:val="22"/>
                <w:szCs w:val="22"/>
              </w:rPr>
              <w:t>2015/16 Estimate £000’s</w:t>
            </w:r>
          </w:p>
        </w:tc>
        <w:tc>
          <w:tcPr>
            <w:tcW w:w="1276" w:type="dxa"/>
          </w:tcPr>
          <w:p w:rsidR="00844EF9" w:rsidRPr="004B249B" w:rsidRDefault="00844EF9" w:rsidP="00207A04">
            <w:pPr>
              <w:jc w:val="center"/>
              <w:rPr>
                <w:b/>
                <w:sz w:val="22"/>
                <w:szCs w:val="22"/>
              </w:rPr>
            </w:pPr>
            <w:r w:rsidRPr="004B249B">
              <w:rPr>
                <w:b/>
                <w:sz w:val="22"/>
                <w:szCs w:val="22"/>
              </w:rPr>
              <w:t>2016/17 Estimate £000’s</w:t>
            </w:r>
          </w:p>
        </w:tc>
        <w:tc>
          <w:tcPr>
            <w:tcW w:w="1184" w:type="dxa"/>
          </w:tcPr>
          <w:p w:rsidR="00844EF9" w:rsidRPr="004B249B" w:rsidRDefault="00844EF9" w:rsidP="00207A04">
            <w:pPr>
              <w:jc w:val="center"/>
              <w:rPr>
                <w:b/>
                <w:sz w:val="22"/>
                <w:szCs w:val="22"/>
              </w:rPr>
            </w:pPr>
            <w:r w:rsidRPr="004B249B">
              <w:rPr>
                <w:b/>
                <w:sz w:val="22"/>
                <w:szCs w:val="22"/>
              </w:rPr>
              <w:t>2017/18 Estimate £000’s</w:t>
            </w:r>
          </w:p>
        </w:tc>
      </w:tr>
      <w:tr w:rsidR="00844EF9" w:rsidTr="00844EF9">
        <w:tc>
          <w:tcPr>
            <w:tcW w:w="2158" w:type="dxa"/>
          </w:tcPr>
          <w:p w:rsidR="00844EF9" w:rsidRDefault="00844EF9" w:rsidP="007739D1">
            <w:r>
              <w:t>Gross Borrowing</w:t>
            </w:r>
          </w:p>
        </w:tc>
        <w:tc>
          <w:tcPr>
            <w:tcW w:w="1134" w:type="dxa"/>
          </w:tcPr>
          <w:p w:rsidR="00844EF9" w:rsidRDefault="00844EF9" w:rsidP="00844EF9">
            <w:pPr>
              <w:jc w:val="right"/>
            </w:pPr>
            <w:r>
              <w:t>220,440</w:t>
            </w:r>
          </w:p>
        </w:tc>
        <w:tc>
          <w:tcPr>
            <w:tcW w:w="1276" w:type="dxa"/>
          </w:tcPr>
          <w:p w:rsidR="00844EF9" w:rsidRDefault="00844EF9" w:rsidP="00844EF9">
            <w:pPr>
              <w:jc w:val="right"/>
            </w:pPr>
            <w:r>
              <w:t>200,133</w:t>
            </w:r>
          </w:p>
        </w:tc>
        <w:tc>
          <w:tcPr>
            <w:tcW w:w="1134" w:type="dxa"/>
          </w:tcPr>
          <w:p w:rsidR="00844EF9" w:rsidRDefault="00844EF9" w:rsidP="00844EF9">
            <w:pPr>
              <w:jc w:val="right"/>
            </w:pPr>
            <w:r>
              <w:t>201,770</w:t>
            </w:r>
          </w:p>
        </w:tc>
        <w:tc>
          <w:tcPr>
            <w:tcW w:w="1276" w:type="dxa"/>
          </w:tcPr>
          <w:p w:rsidR="00844EF9" w:rsidRDefault="00844EF9" w:rsidP="00844EF9">
            <w:pPr>
              <w:jc w:val="right"/>
            </w:pPr>
            <w:r>
              <w:t>215,570</w:t>
            </w:r>
          </w:p>
        </w:tc>
        <w:tc>
          <w:tcPr>
            <w:tcW w:w="1184" w:type="dxa"/>
          </w:tcPr>
          <w:p w:rsidR="00844EF9" w:rsidRDefault="00844EF9" w:rsidP="00844EF9">
            <w:pPr>
              <w:jc w:val="right"/>
            </w:pPr>
            <w:r>
              <w:t>229,470</w:t>
            </w:r>
          </w:p>
        </w:tc>
      </w:tr>
      <w:tr w:rsidR="00844EF9" w:rsidTr="00844EF9">
        <w:tc>
          <w:tcPr>
            <w:tcW w:w="2158" w:type="dxa"/>
          </w:tcPr>
          <w:p w:rsidR="00844EF9" w:rsidRDefault="00844EF9" w:rsidP="007739D1">
            <w:r>
              <w:t>Other Long Term Liabilities</w:t>
            </w:r>
          </w:p>
        </w:tc>
        <w:tc>
          <w:tcPr>
            <w:tcW w:w="1134" w:type="dxa"/>
          </w:tcPr>
          <w:p w:rsidR="00844EF9" w:rsidRDefault="00844EF9" w:rsidP="00844EF9">
            <w:pPr>
              <w:jc w:val="right"/>
            </w:pPr>
            <w:r>
              <w:t>607</w:t>
            </w:r>
          </w:p>
        </w:tc>
        <w:tc>
          <w:tcPr>
            <w:tcW w:w="1276" w:type="dxa"/>
          </w:tcPr>
          <w:p w:rsidR="00844EF9" w:rsidRDefault="00844EF9" w:rsidP="00844EF9">
            <w:pPr>
              <w:jc w:val="right"/>
            </w:pPr>
            <w:r>
              <w:t>0</w:t>
            </w:r>
          </w:p>
        </w:tc>
        <w:tc>
          <w:tcPr>
            <w:tcW w:w="1134" w:type="dxa"/>
          </w:tcPr>
          <w:p w:rsidR="00844EF9" w:rsidRDefault="00844EF9" w:rsidP="00844EF9">
            <w:pPr>
              <w:jc w:val="right"/>
            </w:pPr>
            <w:r>
              <w:t>0</w:t>
            </w:r>
          </w:p>
        </w:tc>
        <w:tc>
          <w:tcPr>
            <w:tcW w:w="1276" w:type="dxa"/>
          </w:tcPr>
          <w:p w:rsidR="00844EF9" w:rsidRDefault="00844EF9" w:rsidP="00844EF9">
            <w:pPr>
              <w:jc w:val="right"/>
            </w:pPr>
            <w:r>
              <w:t>0</w:t>
            </w:r>
          </w:p>
        </w:tc>
        <w:tc>
          <w:tcPr>
            <w:tcW w:w="1184" w:type="dxa"/>
          </w:tcPr>
          <w:p w:rsidR="00844EF9" w:rsidRDefault="00844EF9" w:rsidP="00844EF9">
            <w:pPr>
              <w:jc w:val="right"/>
            </w:pPr>
            <w:r>
              <w:t>0</w:t>
            </w:r>
          </w:p>
        </w:tc>
      </w:tr>
      <w:tr w:rsidR="00844EF9" w:rsidTr="00844EF9">
        <w:tc>
          <w:tcPr>
            <w:tcW w:w="2158" w:type="dxa"/>
          </w:tcPr>
          <w:p w:rsidR="00844EF9" w:rsidRPr="00844EF9" w:rsidRDefault="00844EF9" w:rsidP="007739D1">
            <w:pPr>
              <w:rPr>
                <w:b/>
              </w:rPr>
            </w:pPr>
            <w:r w:rsidRPr="00844EF9">
              <w:rPr>
                <w:b/>
              </w:rPr>
              <w:t>Total Gross Debt 31 March</w:t>
            </w:r>
          </w:p>
        </w:tc>
        <w:tc>
          <w:tcPr>
            <w:tcW w:w="1134" w:type="dxa"/>
          </w:tcPr>
          <w:p w:rsidR="00844EF9" w:rsidRPr="00844EF9" w:rsidRDefault="00844EF9" w:rsidP="00844EF9">
            <w:pPr>
              <w:jc w:val="right"/>
              <w:rPr>
                <w:b/>
              </w:rPr>
            </w:pPr>
            <w:r w:rsidRPr="00844EF9">
              <w:rPr>
                <w:b/>
              </w:rPr>
              <w:t>201,047</w:t>
            </w:r>
          </w:p>
        </w:tc>
        <w:tc>
          <w:tcPr>
            <w:tcW w:w="1276" w:type="dxa"/>
          </w:tcPr>
          <w:p w:rsidR="00844EF9" w:rsidRPr="00844EF9" w:rsidRDefault="00844EF9" w:rsidP="00844EF9">
            <w:pPr>
              <w:jc w:val="right"/>
              <w:rPr>
                <w:b/>
              </w:rPr>
            </w:pPr>
            <w:r>
              <w:rPr>
                <w:b/>
              </w:rPr>
              <w:t>200,133</w:t>
            </w:r>
          </w:p>
        </w:tc>
        <w:tc>
          <w:tcPr>
            <w:tcW w:w="1134" w:type="dxa"/>
          </w:tcPr>
          <w:p w:rsidR="00844EF9" w:rsidRPr="00844EF9" w:rsidRDefault="00844EF9" w:rsidP="00844EF9">
            <w:pPr>
              <w:jc w:val="right"/>
              <w:rPr>
                <w:b/>
              </w:rPr>
            </w:pPr>
            <w:r>
              <w:rPr>
                <w:b/>
              </w:rPr>
              <w:t>201,770</w:t>
            </w:r>
          </w:p>
        </w:tc>
        <w:tc>
          <w:tcPr>
            <w:tcW w:w="1276" w:type="dxa"/>
          </w:tcPr>
          <w:p w:rsidR="00844EF9" w:rsidRPr="00844EF9" w:rsidRDefault="00844EF9" w:rsidP="00844EF9">
            <w:pPr>
              <w:jc w:val="right"/>
              <w:rPr>
                <w:b/>
              </w:rPr>
            </w:pPr>
            <w:r>
              <w:rPr>
                <w:b/>
              </w:rPr>
              <w:t>215,570</w:t>
            </w:r>
          </w:p>
        </w:tc>
        <w:tc>
          <w:tcPr>
            <w:tcW w:w="1184" w:type="dxa"/>
          </w:tcPr>
          <w:p w:rsidR="00844EF9" w:rsidRPr="00844EF9" w:rsidRDefault="00844EF9" w:rsidP="00844EF9">
            <w:pPr>
              <w:jc w:val="right"/>
              <w:rPr>
                <w:b/>
              </w:rPr>
            </w:pPr>
            <w:r>
              <w:rPr>
                <w:b/>
              </w:rPr>
              <w:t>229,470</w:t>
            </w:r>
          </w:p>
        </w:tc>
      </w:tr>
      <w:tr w:rsidR="00844EF9" w:rsidTr="00844EF9">
        <w:tc>
          <w:tcPr>
            <w:tcW w:w="2158" w:type="dxa"/>
          </w:tcPr>
          <w:p w:rsidR="00844EF9" w:rsidRDefault="00844EF9" w:rsidP="007739D1">
            <w:r>
              <w:t>CFR</w:t>
            </w:r>
          </w:p>
        </w:tc>
        <w:tc>
          <w:tcPr>
            <w:tcW w:w="1134" w:type="dxa"/>
          </w:tcPr>
          <w:p w:rsidR="00844EF9" w:rsidRDefault="00844EF9" w:rsidP="00844EF9">
            <w:pPr>
              <w:jc w:val="right"/>
            </w:pPr>
            <w:r>
              <w:t>220,551</w:t>
            </w:r>
          </w:p>
        </w:tc>
        <w:tc>
          <w:tcPr>
            <w:tcW w:w="1276" w:type="dxa"/>
          </w:tcPr>
          <w:p w:rsidR="00844EF9" w:rsidRDefault="00844EF9" w:rsidP="00844EF9">
            <w:pPr>
              <w:jc w:val="right"/>
            </w:pPr>
            <w:r>
              <w:t>222,962</w:t>
            </w:r>
          </w:p>
        </w:tc>
        <w:tc>
          <w:tcPr>
            <w:tcW w:w="1134" w:type="dxa"/>
          </w:tcPr>
          <w:p w:rsidR="00844EF9" w:rsidRDefault="00844EF9" w:rsidP="00844EF9">
            <w:pPr>
              <w:jc w:val="right"/>
            </w:pPr>
            <w:r>
              <w:t>225,223</w:t>
            </w:r>
          </w:p>
        </w:tc>
        <w:tc>
          <w:tcPr>
            <w:tcW w:w="1276" w:type="dxa"/>
          </w:tcPr>
          <w:p w:rsidR="00844EF9" w:rsidRDefault="00844EF9" w:rsidP="00844EF9">
            <w:pPr>
              <w:jc w:val="right"/>
            </w:pPr>
            <w:r>
              <w:t>237,958</w:t>
            </w:r>
          </w:p>
        </w:tc>
        <w:tc>
          <w:tcPr>
            <w:tcW w:w="1184" w:type="dxa"/>
          </w:tcPr>
          <w:p w:rsidR="00844EF9" w:rsidRDefault="00844EF9" w:rsidP="00844EF9">
            <w:pPr>
              <w:jc w:val="right"/>
            </w:pPr>
            <w:r>
              <w:t>250,805</w:t>
            </w:r>
          </w:p>
        </w:tc>
      </w:tr>
      <w:tr w:rsidR="00844EF9" w:rsidTr="00844EF9">
        <w:tc>
          <w:tcPr>
            <w:tcW w:w="2158" w:type="dxa"/>
          </w:tcPr>
          <w:p w:rsidR="00844EF9" w:rsidRPr="00844EF9" w:rsidRDefault="00844EF9" w:rsidP="007739D1">
            <w:pPr>
              <w:rPr>
                <w:b/>
              </w:rPr>
            </w:pPr>
            <w:r w:rsidRPr="00844EF9">
              <w:rPr>
                <w:b/>
              </w:rPr>
              <w:t>Net Borrowing v CFR</w:t>
            </w:r>
          </w:p>
        </w:tc>
        <w:tc>
          <w:tcPr>
            <w:tcW w:w="1134" w:type="dxa"/>
          </w:tcPr>
          <w:p w:rsidR="00844EF9" w:rsidRPr="00844EF9" w:rsidRDefault="00844EF9" w:rsidP="00844EF9">
            <w:pPr>
              <w:jc w:val="right"/>
              <w:rPr>
                <w:b/>
              </w:rPr>
            </w:pPr>
            <w:r w:rsidRPr="00844EF9">
              <w:rPr>
                <w:b/>
              </w:rPr>
              <w:t>19,504</w:t>
            </w:r>
          </w:p>
        </w:tc>
        <w:tc>
          <w:tcPr>
            <w:tcW w:w="1276" w:type="dxa"/>
          </w:tcPr>
          <w:p w:rsidR="00844EF9" w:rsidRPr="00844EF9" w:rsidRDefault="00844EF9" w:rsidP="00844EF9">
            <w:pPr>
              <w:jc w:val="right"/>
              <w:rPr>
                <w:b/>
              </w:rPr>
            </w:pPr>
            <w:r>
              <w:rPr>
                <w:b/>
              </w:rPr>
              <w:t>22,829</w:t>
            </w:r>
          </w:p>
        </w:tc>
        <w:tc>
          <w:tcPr>
            <w:tcW w:w="1134" w:type="dxa"/>
          </w:tcPr>
          <w:p w:rsidR="00844EF9" w:rsidRPr="00844EF9" w:rsidRDefault="00844EF9" w:rsidP="00844EF9">
            <w:pPr>
              <w:jc w:val="right"/>
              <w:rPr>
                <w:b/>
              </w:rPr>
            </w:pPr>
            <w:r>
              <w:rPr>
                <w:b/>
              </w:rPr>
              <w:t>23,453</w:t>
            </w:r>
          </w:p>
        </w:tc>
        <w:tc>
          <w:tcPr>
            <w:tcW w:w="1276" w:type="dxa"/>
          </w:tcPr>
          <w:p w:rsidR="00844EF9" w:rsidRPr="00844EF9" w:rsidRDefault="00844EF9" w:rsidP="00844EF9">
            <w:pPr>
              <w:jc w:val="right"/>
              <w:rPr>
                <w:b/>
              </w:rPr>
            </w:pPr>
            <w:r>
              <w:rPr>
                <w:b/>
              </w:rPr>
              <w:t>22,388</w:t>
            </w:r>
          </w:p>
        </w:tc>
        <w:tc>
          <w:tcPr>
            <w:tcW w:w="1184" w:type="dxa"/>
          </w:tcPr>
          <w:p w:rsidR="00844EF9" w:rsidRPr="00844EF9" w:rsidRDefault="00844EF9" w:rsidP="00844EF9">
            <w:pPr>
              <w:jc w:val="right"/>
              <w:rPr>
                <w:b/>
              </w:rPr>
            </w:pPr>
            <w:r>
              <w:rPr>
                <w:b/>
              </w:rPr>
              <w:t>21,335</w:t>
            </w:r>
          </w:p>
        </w:tc>
      </w:tr>
    </w:tbl>
    <w:p w:rsidR="00844EF9" w:rsidRDefault="00844EF9" w:rsidP="007739D1">
      <w:pPr>
        <w:ind w:left="360"/>
      </w:pPr>
    </w:p>
    <w:p w:rsidR="007739D1" w:rsidRPr="00360799" w:rsidRDefault="007739D1" w:rsidP="007739D1">
      <w:pPr>
        <w:ind w:left="360"/>
      </w:pPr>
    </w:p>
    <w:p w:rsidR="007739D1" w:rsidRPr="00360799" w:rsidRDefault="007739D1" w:rsidP="007739D1">
      <w:pPr>
        <w:rPr>
          <w:b/>
        </w:rPr>
      </w:pPr>
      <w:r w:rsidRPr="00360799">
        <w:rPr>
          <w:b/>
        </w:rPr>
        <w:t>H. Compliance with the CIPFA Code of Practice for Treasury Management in the Public Sector</w:t>
      </w:r>
    </w:p>
    <w:p w:rsidR="007739D1" w:rsidRPr="00360799" w:rsidRDefault="007739D1" w:rsidP="007739D1">
      <w:pPr>
        <w:numPr>
          <w:ilvl w:val="0"/>
          <w:numId w:val="12"/>
        </w:numPr>
        <w:ind w:hanging="540"/>
      </w:pPr>
      <w:r w:rsidRPr="00360799">
        <w:t>The Council can confirm that it has complied</w:t>
      </w:r>
      <w:r w:rsidR="00CE4DBE">
        <w:t xml:space="preserve"> with this code throughout 2014/15</w:t>
      </w:r>
      <w:r w:rsidRPr="00360799">
        <w:t xml:space="preserve"> and will continue to do so.</w:t>
      </w:r>
    </w:p>
    <w:p w:rsidR="007739D1" w:rsidRPr="00896028" w:rsidRDefault="007739D1" w:rsidP="007739D1">
      <w:pPr>
        <w:rPr>
          <w:color w:val="FF0000"/>
        </w:rPr>
      </w:pPr>
    </w:p>
    <w:p w:rsidR="007739D1" w:rsidRPr="00360799" w:rsidRDefault="007739D1" w:rsidP="007739D1">
      <w:pPr>
        <w:rPr>
          <w:b/>
        </w:rPr>
      </w:pPr>
      <w:r w:rsidRPr="00360799">
        <w:rPr>
          <w:b/>
        </w:rPr>
        <w:t>I. Upper limit on fixed and variable interest rate borrowing and investments</w:t>
      </w:r>
    </w:p>
    <w:p w:rsidR="007739D1" w:rsidRPr="00360799" w:rsidRDefault="007739D1" w:rsidP="007739D1">
      <w:pPr>
        <w:numPr>
          <w:ilvl w:val="0"/>
          <w:numId w:val="12"/>
        </w:numPr>
        <w:ind w:hanging="540"/>
      </w:pPr>
      <w:r w:rsidRPr="00360799">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7739D1" w:rsidRDefault="007739D1"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Default="00844EF9" w:rsidP="007739D1">
      <w:pPr>
        <w:ind w:left="180"/>
        <w:rPr>
          <w:color w:val="FF0000"/>
          <w:highlight w:val="yellow"/>
        </w:rPr>
      </w:pPr>
    </w:p>
    <w:p w:rsidR="00844EF9" w:rsidRPr="00896028" w:rsidRDefault="00844EF9" w:rsidP="007739D1">
      <w:pPr>
        <w:ind w:left="180"/>
        <w:rPr>
          <w:color w:val="FF0000"/>
          <w:highlight w:val="yellow"/>
        </w:rPr>
      </w:pPr>
    </w:p>
    <w:p w:rsidR="007739D1" w:rsidRDefault="007739D1" w:rsidP="007739D1">
      <w:pPr>
        <w:ind w:left="180"/>
        <w:rPr>
          <w:b/>
        </w:rPr>
      </w:pPr>
      <w:r w:rsidRPr="00870BE4">
        <w:rPr>
          <w:b/>
        </w:rPr>
        <w:t>Table 1</w:t>
      </w:r>
      <w:r w:rsidR="00BD2BF5">
        <w:rPr>
          <w:b/>
        </w:rPr>
        <w:t>0</w:t>
      </w:r>
      <w:r w:rsidRPr="00870BE4">
        <w:rPr>
          <w:b/>
        </w:rPr>
        <w:t>:- Upper limit on borrowing and investments</w:t>
      </w:r>
    </w:p>
    <w:tbl>
      <w:tblPr>
        <w:tblStyle w:val="TableGrid"/>
        <w:tblW w:w="0" w:type="auto"/>
        <w:tblInd w:w="180" w:type="dxa"/>
        <w:tblLook w:val="04A0" w:firstRow="1" w:lastRow="0" w:firstColumn="1" w:lastColumn="0" w:noHBand="0" w:noVBand="1"/>
      </w:tblPr>
      <w:tblGrid>
        <w:gridCol w:w="2460"/>
        <w:gridCol w:w="1012"/>
        <w:gridCol w:w="1276"/>
        <w:gridCol w:w="1134"/>
        <w:gridCol w:w="1276"/>
        <w:gridCol w:w="1184"/>
      </w:tblGrid>
      <w:tr w:rsidR="00CC604C" w:rsidTr="00CC604C">
        <w:tc>
          <w:tcPr>
            <w:tcW w:w="2460" w:type="dxa"/>
          </w:tcPr>
          <w:p w:rsidR="00CC604C" w:rsidRDefault="00CC604C" w:rsidP="007739D1">
            <w:pPr>
              <w:rPr>
                <w:b/>
              </w:rPr>
            </w:pPr>
          </w:p>
        </w:tc>
        <w:tc>
          <w:tcPr>
            <w:tcW w:w="1012" w:type="dxa"/>
          </w:tcPr>
          <w:p w:rsidR="00CC604C" w:rsidRPr="004B249B" w:rsidRDefault="00CC604C" w:rsidP="00CC604C">
            <w:pPr>
              <w:jc w:val="center"/>
              <w:rPr>
                <w:b/>
                <w:sz w:val="22"/>
                <w:szCs w:val="22"/>
              </w:rPr>
            </w:pPr>
            <w:r w:rsidRPr="004B249B">
              <w:rPr>
                <w:b/>
                <w:sz w:val="22"/>
                <w:szCs w:val="22"/>
              </w:rPr>
              <w:t xml:space="preserve">2013/14 Actual </w:t>
            </w:r>
            <w:r>
              <w:rPr>
                <w:b/>
                <w:sz w:val="22"/>
                <w:szCs w:val="22"/>
              </w:rPr>
              <w:t>%</w:t>
            </w:r>
          </w:p>
        </w:tc>
        <w:tc>
          <w:tcPr>
            <w:tcW w:w="1276" w:type="dxa"/>
          </w:tcPr>
          <w:p w:rsidR="00CC604C" w:rsidRPr="004B249B" w:rsidRDefault="00CC604C" w:rsidP="00207A04">
            <w:pPr>
              <w:jc w:val="center"/>
              <w:rPr>
                <w:b/>
                <w:sz w:val="22"/>
                <w:szCs w:val="22"/>
              </w:rPr>
            </w:pPr>
            <w:r w:rsidRPr="004B249B">
              <w:rPr>
                <w:b/>
                <w:sz w:val="22"/>
                <w:szCs w:val="22"/>
              </w:rPr>
              <w:t xml:space="preserve">2014/15 Estimate </w:t>
            </w:r>
            <w:r>
              <w:rPr>
                <w:b/>
                <w:sz w:val="22"/>
                <w:szCs w:val="22"/>
              </w:rPr>
              <w:t>%</w:t>
            </w:r>
          </w:p>
        </w:tc>
        <w:tc>
          <w:tcPr>
            <w:tcW w:w="1134" w:type="dxa"/>
          </w:tcPr>
          <w:p w:rsidR="00CC604C" w:rsidRPr="004B249B" w:rsidRDefault="00CC604C" w:rsidP="00207A04">
            <w:pPr>
              <w:jc w:val="center"/>
              <w:rPr>
                <w:b/>
                <w:sz w:val="22"/>
                <w:szCs w:val="22"/>
              </w:rPr>
            </w:pPr>
            <w:r>
              <w:rPr>
                <w:b/>
                <w:sz w:val="22"/>
                <w:szCs w:val="22"/>
              </w:rPr>
              <w:t>2015/16 Estimate %</w:t>
            </w:r>
          </w:p>
        </w:tc>
        <w:tc>
          <w:tcPr>
            <w:tcW w:w="1276" w:type="dxa"/>
          </w:tcPr>
          <w:p w:rsidR="00CC604C" w:rsidRPr="004B249B" w:rsidRDefault="00CC604C" w:rsidP="00207A04">
            <w:pPr>
              <w:jc w:val="center"/>
              <w:rPr>
                <w:b/>
                <w:sz w:val="22"/>
                <w:szCs w:val="22"/>
              </w:rPr>
            </w:pPr>
            <w:r w:rsidRPr="004B249B">
              <w:rPr>
                <w:b/>
                <w:sz w:val="22"/>
                <w:szCs w:val="22"/>
              </w:rPr>
              <w:t xml:space="preserve">2016/17 Estimate </w:t>
            </w:r>
            <w:r>
              <w:rPr>
                <w:b/>
                <w:sz w:val="22"/>
                <w:szCs w:val="22"/>
              </w:rPr>
              <w:t>%</w:t>
            </w:r>
          </w:p>
        </w:tc>
        <w:tc>
          <w:tcPr>
            <w:tcW w:w="1184" w:type="dxa"/>
          </w:tcPr>
          <w:p w:rsidR="00CC604C" w:rsidRPr="004B249B" w:rsidRDefault="00CC604C" w:rsidP="00207A04">
            <w:pPr>
              <w:jc w:val="center"/>
              <w:rPr>
                <w:b/>
                <w:sz w:val="22"/>
                <w:szCs w:val="22"/>
              </w:rPr>
            </w:pPr>
            <w:r w:rsidRPr="004B249B">
              <w:rPr>
                <w:b/>
                <w:sz w:val="22"/>
                <w:szCs w:val="22"/>
              </w:rPr>
              <w:t xml:space="preserve">2017/18 Estimate </w:t>
            </w:r>
            <w:r>
              <w:rPr>
                <w:b/>
                <w:sz w:val="22"/>
                <w:szCs w:val="22"/>
              </w:rPr>
              <w:t>%</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fixed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borrowing</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r w:rsidR="00CC604C" w:rsidTr="00CC604C">
        <w:tc>
          <w:tcPr>
            <w:tcW w:w="2460" w:type="dxa"/>
          </w:tcPr>
          <w:p w:rsidR="00CC604C" w:rsidRPr="00CC604C" w:rsidRDefault="00CC604C" w:rsidP="007739D1">
            <w:pPr>
              <w:rPr>
                <w:sz w:val="22"/>
                <w:szCs w:val="22"/>
              </w:rPr>
            </w:pPr>
            <w:r w:rsidRPr="00CC604C">
              <w:rPr>
                <w:sz w:val="22"/>
                <w:szCs w:val="22"/>
              </w:rPr>
              <w:t>Upper limit on variable rate investments</w:t>
            </w:r>
          </w:p>
        </w:tc>
        <w:tc>
          <w:tcPr>
            <w:tcW w:w="1012"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34" w:type="dxa"/>
          </w:tcPr>
          <w:p w:rsidR="00CC604C" w:rsidRPr="00CC604C" w:rsidRDefault="00CC604C" w:rsidP="00CC604C">
            <w:pPr>
              <w:jc w:val="right"/>
            </w:pPr>
            <w:r w:rsidRPr="00CC604C">
              <w:t>100</w:t>
            </w:r>
          </w:p>
        </w:tc>
        <w:tc>
          <w:tcPr>
            <w:tcW w:w="1276" w:type="dxa"/>
          </w:tcPr>
          <w:p w:rsidR="00CC604C" w:rsidRPr="00CC604C" w:rsidRDefault="00CC604C" w:rsidP="00CC604C">
            <w:pPr>
              <w:jc w:val="right"/>
            </w:pPr>
            <w:r w:rsidRPr="00CC604C">
              <w:t>100</w:t>
            </w:r>
          </w:p>
        </w:tc>
        <w:tc>
          <w:tcPr>
            <w:tcW w:w="1184" w:type="dxa"/>
          </w:tcPr>
          <w:p w:rsidR="00CC604C" w:rsidRPr="00CC604C" w:rsidRDefault="00CC604C" w:rsidP="00CC604C">
            <w:pPr>
              <w:jc w:val="right"/>
            </w:pPr>
            <w:r w:rsidRPr="00CC604C">
              <w:t>100</w:t>
            </w:r>
          </w:p>
        </w:tc>
      </w:tr>
    </w:tbl>
    <w:p w:rsidR="00CC604C" w:rsidRPr="00870BE4" w:rsidRDefault="00CC604C" w:rsidP="007739D1">
      <w:pPr>
        <w:ind w:left="180"/>
        <w:rPr>
          <w:b/>
        </w:rPr>
      </w:pPr>
    </w:p>
    <w:p w:rsidR="007739D1" w:rsidRPr="00360799" w:rsidRDefault="007739D1" w:rsidP="007739D1"/>
    <w:p w:rsidR="007739D1" w:rsidRPr="00360799" w:rsidRDefault="007739D1" w:rsidP="007739D1">
      <w:pPr>
        <w:ind w:left="360"/>
        <w:rPr>
          <w:b/>
        </w:rPr>
      </w:pPr>
      <w:r w:rsidRPr="00360799">
        <w:rPr>
          <w:b/>
        </w:rPr>
        <w:t>J. Upper and Lower limit for the maturity structure of borrowing</w:t>
      </w:r>
    </w:p>
    <w:p w:rsidR="007739D1" w:rsidRPr="00360799" w:rsidRDefault="007739D1" w:rsidP="007739D1">
      <w:pPr>
        <w:numPr>
          <w:ilvl w:val="0"/>
          <w:numId w:val="12"/>
        </w:numPr>
        <w:ind w:hanging="540"/>
      </w:pPr>
      <w:r w:rsidRPr="00360799">
        <w:t>These are used to reduce the Council’s exposure to large fixed rate sums falling due for repayment at the same time.</w:t>
      </w:r>
    </w:p>
    <w:p w:rsidR="007739D1" w:rsidRPr="00896028" w:rsidRDefault="007739D1" w:rsidP="007739D1">
      <w:pPr>
        <w:ind w:left="360"/>
        <w:rPr>
          <w:b/>
          <w:color w:val="FF0000"/>
        </w:rPr>
      </w:pPr>
    </w:p>
    <w:p w:rsidR="007739D1" w:rsidRDefault="00BD2BF5" w:rsidP="007739D1">
      <w:pPr>
        <w:ind w:left="180"/>
        <w:rPr>
          <w:b/>
        </w:rPr>
      </w:pPr>
      <w:r>
        <w:rPr>
          <w:b/>
        </w:rPr>
        <w:t>Table 11</w:t>
      </w:r>
      <w:r w:rsidR="007739D1" w:rsidRPr="001C2A1B">
        <w:rPr>
          <w:b/>
        </w:rPr>
        <w:t>:- Upper and lower limit on borrowing maturity</w:t>
      </w:r>
    </w:p>
    <w:tbl>
      <w:tblPr>
        <w:tblStyle w:val="TableGrid"/>
        <w:tblW w:w="0" w:type="auto"/>
        <w:tblInd w:w="-1026" w:type="dxa"/>
        <w:tblLook w:val="04A0" w:firstRow="1" w:lastRow="0" w:firstColumn="1" w:lastColumn="0" w:noHBand="0" w:noVBand="1"/>
      </w:tblPr>
      <w:tblGrid>
        <w:gridCol w:w="972"/>
        <w:gridCol w:w="1072"/>
        <w:gridCol w:w="1072"/>
        <w:gridCol w:w="1072"/>
        <w:gridCol w:w="1072"/>
        <w:gridCol w:w="1072"/>
        <w:gridCol w:w="1072"/>
        <w:gridCol w:w="1072"/>
        <w:gridCol w:w="1072"/>
      </w:tblGrid>
      <w:tr w:rsidR="006C5A1B" w:rsidTr="006C5A1B">
        <w:tc>
          <w:tcPr>
            <w:tcW w:w="972" w:type="dxa"/>
          </w:tcPr>
          <w:p w:rsidR="006C5A1B" w:rsidRDefault="006C5A1B" w:rsidP="007739D1">
            <w:pPr>
              <w:rPr>
                <w:b/>
              </w:rPr>
            </w:pP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jc w:val="cente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c>
          <w:tcPr>
            <w:tcW w:w="1072" w:type="dxa"/>
          </w:tcPr>
          <w:p w:rsidR="006C5A1B" w:rsidRPr="006C5A1B" w:rsidRDefault="006C5A1B" w:rsidP="006C5A1B">
            <w:pPr>
              <w:jc w:val="center"/>
              <w:rPr>
                <w:sz w:val="22"/>
                <w:szCs w:val="22"/>
              </w:rPr>
            </w:pPr>
            <w:r w:rsidRPr="006C5A1B">
              <w:rPr>
                <w:sz w:val="22"/>
                <w:szCs w:val="22"/>
              </w:rPr>
              <w:t>2014/15 Estimate Upper</w:t>
            </w:r>
          </w:p>
          <w:p w:rsidR="006C5A1B" w:rsidRPr="006C5A1B" w:rsidRDefault="006C5A1B" w:rsidP="006C5A1B">
            <w:pPr>
              <w:rPr>
                <w:sz w:val="22"/>
                <w:szCs w:val="22"/>
              </w:rPr>
            </w:pPr>
            <w:r w:rsidRPr="006C5A1B">
              <w:rPr>
                <w:sz w:val="22"/>
                <w:szCs w:val="22"/>
              </w:rPr>
              <w:t>%</w:t>
            </w:r>
          </w:p>
        </w:tc>
      </w:tr>
      <w:tr w:rsidR="006C5A1B" w:rsidTr="006C5A1B">
        <w:tc>
          <w:tcPr>
            <w:tcW w:w="972" w:type="dxa"/>
          </w:tcPr>
          <w:p w:rsidR="006C5A1B" w:rsidRPr="006C5A1B" w:rsidRDefault="006C5A1B" w:rsidP="007739D1">
            <w:r w:rsidRPr="006C5A1B">
              <w:t xml:space="preserve">&lt; 12 </w:t>
            </w:r>
            <w:proofErr w:type="spellStart"/>
            <w:r w:rsidRPr="006C5A1B">
              <w:t>mths</w:t>
            </w:r>
            <w:proofErr w:type="spellEnd"/>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r>
      <w:tr w:rsidR="006C5A1B" w:rsidTr="006C5A1B">
        <w:tc>
          <w:tcPr>
            <w:tcW w:w="972" w:type="dxa"/>
          </w:tcPr>
          <w:p w:rsidR="006C5A1B" w:rsidRPr="006C5A1B" w:rsidRDefault="006C5A1B" w:rsidP="006C5A1B">
            <w:r>
              <w:t>1</w:t>
            </w:r>
            <w:r w:rsidRPr="006C5A1B">
              <w:t xml:space="preserve"> – 2 y</w:t>
            </w:r>
            <w:r>
              <w:t>ear</w:t>
            </w:r>
            <w:r w:rsidRPr="006C5A1B">
              <w:t>s</w:t>
            </w:r>
          </w:p>
        </w:tc>
        <w:tc>
          <w:tcPr>
            <w:tcW w:w="1072" w:type="dxa"/>
          </w:tcPr>
          <w:p w:rsidR="006C5A1B" w:rsidRPr="006C5A1B" w:rsidRDefault="006C5A1B" w:rsidP="006C5A1B">
            <w:pPr>
              <w:jc w:val="right"/>
            </w:pPr>
            <w:r w:rsidRPr="006C5A1B">
              <w:t>30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30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2 -5 years</w:t>
            </w:r>
          </w:p>
        </w:tc>
        <w:tc>
          <w:tcPr>
            <w:tcW w:w="1072" w:type="dxa"/>
          </w:tcPr>
          <w:p w:rsidR="006C5A1B" w:rsidRPr="006C5A1B" w:rsidRDefault="006C5A1B" w:rsidP="006C5A1B">
            <w:pPr>
              <w:jc w:val="right"/>
            </w:pPr>
            <w:r w:rsidRPr="006C5A1B">
              <w:t>80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80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6C5A1B">
            <w:r>
              <w:t>5-10 years</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r w:rsidR="006C5A1B" w:rsidTr="006C5A1B">
        <w:tc>
          <w:tcPr>
            <w:tcW w:w="972" w:type="dxa"/>
          </w:tcPr>
          <w:p w:rsidR="006C5A1B" w:rsidRPr="006C5A1B" w:rsidRDefault="006C5A1B" w:rsidP="007739D1">
            <w:r>
              <w:t>10 years +</w:t>
            </w:r>
          </w:p>
        </w:tc>
        <w:tc>
          <w:tcPr>
            <w:tcW w:w="1072" w:type="dxa"/>
          </w:tcPr>
          <w:p w:rsidR="006C5A1B" w:rsidRPr="006C5A1B" w:rsidRDefault="006C5A1B" w:rsidP="006C5A1B">
            <w:pPr>
              <w:jc w:val="right"/>
            </w:pPr>
            <w:r w:rsidRPr="006C5A1B">
              <w:t>100</w:t>
            </w:r>
          </w:p>
        </w:tc>
        <w:tc>
          <w:tcPr>
            <w:tcW w:w="1072" w:type="dxa"/>
          </w:tcPr>
          <w:p w:rsidR="006C5A1B" w:rsidRPr="006C5A1B" w:rsidRDefault="006C5A1B" w:rsidP="006C5A1B">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c>
          <w:tcPr>
            <w:tcW w:w="1072" w:type="dxa"/>
          </w:tcPr>
          <w:p w:rsidR="006C5A1B" w:rsidRPr="006C5A1B" w:rsidRDefault="006C5A1B" w:rsidP="00207A04">
            <w:pPr>
              <w:jc w:val="right"/>
            </w:pPr>
            <w:r w:rsidRPr="006C5A1B">
              <w:t>100</w:t>
            </w:r>
          </w:p>
        </w:tc>
        <w:tc>
          <w:tcPr>
            <w:tcW w:w="1072" w:type="dxa"/>
          </w:tcPr>
          <w:p w:rsidR="006C5A1B" w:rsidRPr="006C5A1B" w:rsidRDefault="006C5A1B" w:rsidP="00207A04">
            <w:pPr>
              <w:jc w:val="right"/>
            </w:pPr>
            <w:r w:rsidRPr="006C5A1B">
              <w:t>0</w:t>
            </w:r>
          </w:p>
        </w:tc>
      </w:tr>
    </w:tbl>
    <w:p w:rsidR="006C5A1B" w:rsidRPr="001C2A1B" w:rsidRDefault="006C5A1B" w:rsidP="007739D1">
      <w:pPr>
        <w:ind w:left="180"/>
        <w:rPr>
          <w:b/>
        </w:rPr>
      </w:pPr>
    </w:p>
    <w:p w:rsidR="007739D1" w:rsidRPr="00896028" w:rsidRDefault="007739D1" w:rsidP="007739D1">
      <w:pPr>
        <w:ind w:left="360"/>
        <w:rPr>
          <w:color w:val="FF0000"/>
          <w:highlight w:val="yellow"/>
        </w:rPr>
      </w:pPr>
    </w:p>
    <w:p w:rsidR="007739D1" w:rsidRPr="00360799" w:rsidRDefault="007739D1" w:rsidP="007739D1">
      <w:pPr>
        <w:numPr>
          <w:ilvl w:val="0"/>
          <w:numId w:val="12"/>
        </w:numPr>
        <w:ind w:hanging="540"/>
      </w:pPr>
      <w:r w:rsidRPr="00360799">
        <w:t>Upper limit for principle sums invested for periods longer than 364 days; this indicator is used to reduce the need for early sale of an investment, and is based on the availability of funds after each year end.  This has been set at zero due to the uncertainty of the market and reducing the risk posed by longer term investments.</w:t>
      </w:r>
    </w:p>
    <w:p w:rsidR="007739D1" w:rsidRPr="00360799" w:rsidRDefault="007739D1" w:rsidP="007739D1">
      <w:pPr>
        <w:ind w:left="180"/>
      </w:pPr>
    </w:p>
    <w:p w:rsidR="00CC604C" w:rsidRDefault="007739D1" w:rsidP="007739D1">
      <w:pPr>
        <w:ind w:left="180"/>
        <w:rPr>
          <w:b/>
        </w:rPr>
      </w:pPr>
      <w:r w:rsidRPr="00870BE4">
        <w:rPr>
          <w:b/>
        </w:rPr>
        <w:t>Table 1</w:t>
      </w:r>
      <w:r w:rsidR="00D72C2D">
        <w:rPr>
          <w:b/>
        </w:rPr>
        <w:t>2</w:t>
      </w:r>
      <w:r w:rsidRPr="00870BE4">
        <w:rPr>
          <w:b/>
        </w:rPr>
        <w:t xml:space="preserve">:- Upper limit for investments longer than 364 days </w:t>
      </w:r>
    </w:p>
    <w:p w:rsidR="00CC604C" w:rsidRDefault="00CC604C" w:rsidP="007739D1">
      <w:pPr>
        <w:ind w:left="180"/>
        <w:rPr>
          <w:b/>
        </w:rPr>
      </w:pPr>
    </w:p>
    <w:tbl>
      <w:tblPr>
        <w:tblStyle w:val="TableGrid"/>
        <w:tblW w:w="0" w:type="auto"/>
        <w:tblInd w:w="180" w:type="dxa"/>
        <w:tblLook w:val="04A0" w:firstRow="1" w:lastRow="0" w:firstColumn="1" w:lastColumn="0" w:noHBand="0" w:noVBand="1"/>
      </w:tblPr>
      <w:tblGrid>
        <w:gridCol w:w="3189"/>
        <w:gridCol w:w="1275"/>
        <w:gridCol w:w="1276"/>
        <w:gridCol w:w="1276"/>
        <w:gridCol w:w="1276"/>
      </w:tblGrid>
      <w:tr w:rsidR="00CC604C" w:rsidTr="00536C0B">
        <w:tc>
          <w:tcPr>
            <w:tcW w:w="3189" w:type="dxa"/>
          </w:tcPr>
          <w:p w:rsidR="00CC604C" w:rsidRDefault="00CC604C" w:rsidP="007739D1">
            <w:pPr>
              <w:rPr>
                <w:b/>
              </w:rPr>
            </w:pPr>
          </w:p>
        </w:tc>
        <w:tc>
          <w:tcPr>
            <w:tcW w:w="1275" w:type="dxa"/>
          </w:tcPr>
          <w:p w:rsidR="00CC604C" w:rsidRDefault="00CC604C" w:rsidP="007739D1">
            <w:pPr>
              <w:rPr>
                <w:b/>
              </w:rPr>
            </w:pPr>
            <w:r>
              <w:rPr>
                <w:b/>
              </w:rPr>
              <w:t>2014/15 Estimate %</w:t>
            </w:r>
          </w:p>
        </w:tc>
        <w:tc>
          <w:tcPr>
            <w:tcW w:w="1276" w:type="dxa"/>
          </w:tcPr>
          <w:p w:rsidR="00CC604C" w:rsidRDefault="00CC604C" w:rsidP="00CC604C">
            <w:pPr>
              <w:rPr>
                <w:b/>
              </w:rPr>
            </w:pPr>
            <w:r>
              <w:rPr>
                <w:b/>
              </w:rPr>
              <w:t>2015/16 Estimate %</w:t>
            </w:r>
          </w:p>
        </w:tc>
        <w:tc>
          <w:tcPr>
            <w:tcW w:w="1276" w:type="dxa"/>
          </w:tcPr>
          <w:p w:rsidR="00CC604C" w:rsidRDefault="00CC604C" w:rsidP="00CC604C">
            <w:pPr>
              <w:rPr>
                <w:b/>
              </w:rPr>
            </w:pPr>
            <w:r>
              <w:rPr>
                <w:b/>
              </w:rPr>
              <w:t>2016/17 Estimate %</w:t>
            </w:r>
          </w:p>
        </w:tc>
        <w:tc>
          <w:tcPr>
            <w:tcW w:w="1276" w:type="dxa"/>
          </w:tcPr>
          <w:p w:rsidR="00CC604C" w:rsidRDefault="00CC604C" w:rsidP="00CC604C">
            <w:pPr>
              <w:rPr>
                <w:b/>
              </w:rPr>
            </w:pPr>
            <w:r>
              <w:rPr>
                <w:b/>
              </w:rPr>
              <w:t>2017/18 Estimate %</w:t>
            </w:r>
          </w:p>
        </w:tc>
      </w:tr>
      <w:tr w:rsidR="00CC604C" w:rsidTr="00536C0B">
        <w:tc>
          <w:tcPr>
            <w:tcW w:w="3189" w:type="dxa"/>
          </w:tcPr>
          <w:p w:rsidR="00CC604C" w:rsidRPr="00536C0B" w:rsidRDefault="00536C0B" w:rsidP="007739D1">
            <w:r w:rsidRPr="00536C0B">
              <w:t>Upper Limit for investments for periods longer than 364 days</w:t>
            </w:r>
          </w:p>
        </w:tc>
        <w:tc>
          <w:tcPr>
            <w:tcW w:w="1275"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c>
          <w:tcPr>
            <w:tcW w:w="1276" w:type="dxa"/>
          </w:tcPr>
          <w:p w:rsidR="00CC604C" w:rsidRPr="00536C0B" w:rsidRDefault="00536C0B" w:rsidP="00536C0B">
            <w:pPr>
              <w:jc w:val="right"/>
            </w:pPr>
            <w:r w:rsidRPr="00536C0B">
              <w:t>20</w:t>
            </w:r>
          </w:p>
        </w:tc>
      </w:tr>
    </w:tbl>
    <w:p w:rsidR="00CC604C" w:rsidRDefault="00CC604C" w:rsidP="007739D1">
      <w:pPr>
        <w:ind w:left="180"/>
        <w:rPr>
          <w:b/>
        </w:rPr>
      </w:pPr>
    </w:p>
    <w:sectPr w:rsidR="00CC604C">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F6" w:rsidRDefault="00EE4BF6">
      <w:r>
        <w:separator/>
      </w:r>
    </w:p>
  </w:endnote>
  <w:endnote w:type="continuationSeparator" w:id="0">
    <w:p w:rsidR="00EE4BF6" w:rsidRDefault="00EE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F6" w:rsidRDefault="00EE4BF6">
      <w:r>
        <w:separator/>
      </w:r>
    </w:p>
  </w:footnote>
  <w:footnote w:type="continuationSeparator" w:id="0">
    <w:p w:rsidR="00EE4BF6" w:rsidRDefault="00EE4BF6">
      <w:r>
        <w:continuationSeparator/>
      </w:r>
    </w:p>
  </w:footnote>
  <w:footnote w:id="1">
    <w:p w:rsidR="004B249B" w:rsidRDefault="004B249B">
      <w:pPr>
        <w:pStyle w:val="FootnoteText"/>
      </w:pPr>
      <w:r>
        <w:rPr>
          <w:rStyle w:val="FootnoteReference"/>
        </w:rPr>
        <w:footnoteRef/>
      </w:r>
      <w:r>
        <w:t xml:space="preserve"> Supported Capital Expenditure means the total amount of capital expenditure which a local authority has been notified by Government will be given as part of the grant payment</w:t>
      </w:r>
    </w:p>
  </w:footnote>
  <w:footnote w:id="2">
    <w:p w:rsidR="004B249B" w:rsidRDefault="004B249B">
      <w:pPr>
        <w:pStyle w:val="FootnoteText"/>
      </w:pPr>
      <w:r>
        <w:rPr>
          <w:rStyle w:val="FootnoteReference"/>
        </w:rPr>
        <w:footnoteRef/>
      </w:r>
      <w:r>
        <w:t xml:space="preserve"> Unsupported borrowing is any borrowing not covered by Government grants.</w:t>
      </w:r>
    </w:p>
  </w:footnote>
  <w:footnote w:id="3">
    <w:p w:rsidR="004B249B" w:rsidRDefault="004B249B">
      <w:pPr>
        <w:pStyle w:val="FootnoteText"/>
      </w:pPr>
      <w:r>
        <w:rPr>
          <w:rStyle w:val="FootnoteReference"/>
        </w:rPr>
        <w:footnoteRef/>
      </w:r>
      <w:r>
        <w:t xml:space="preserve"> A financial swap agreement that the seller of the CDS will compensate the buyer in the event of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4B3"/>
    <w:multiLevelType w:val="hybridMultilevel"/>
    <w:tmpl w:val="D208F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BE2D04"/>
    <w:multiLevelType w:val="hybridMultilevel"/>
    <w:tmpl w:val="C48A7E3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44D0F82"/>
    <w:multiLevelType w:val="hybridMultilevel"/>
    <w:tmpl w:val="1E064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A87080"/>
    <w:multiLevelType w:val="hybridMultilevel"/>
    <w:tmpl w:val="6DEC9150"/>
    <w:lvl w:ilvl="0" w:tplc="FFFFFFFF">
      <w:start w:val="1"/>
      <w:numFmt w:val="bullet"/>
      <w:lvlText w:val=""/>
      <w:lvlJc w:val="left"/>
      <w:pPr>
        <w:tabs>
          <w:tab w:val="num" w:pos="417"/>
        </w:tabs>
        <w:ind w:left="284" w:hanging="22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F07135"/>
    <w:multiLevelType w:val="hybridMultilevel"/>
    <w:tmpl w:val="9C24814C"/>
    <w:lvl w:ilvl="0" w:tplc="DDEE7ED8">
      <w:start w:val="1"/>
      <w:numFmt w:val="decimal"/>
      <w:lvlText w:val="%1."/>
      <w:lvlJc w:val="left"/>
      <w:pPr>
        <w:tabs>
          <w:tab w:val="num" w:pos="360"/>
        </w:tabs>
        <w:ind w:left="360" w:hanging="360"/>
      </w:pPr>
      <w:rPr>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D75955"/>
    <w:multiLevelType w:val="hybridMultilevel"/>
    <w:tmpl w:val="D9CE3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A145BF"/>
    <w:multiLevelType w:val="hybridMultilevel"/>
    <w:tmpl w:val="FFBA11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0787717"/>
    <w:multiLevelType w:val="hybridMultilevel"/>
    <w:tmpl w:val="A9D4C5EC"/>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BA4D6D"/>
    <w:multiLevelType w:val="hybridMultilevel"/>
    <w:tmpl w:val="2168E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8B276A"/>
    <w:multiLevelType w:val="hybridMultilevel"/>
    <w:tmpl w:val="6A584B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4CE5FCF"/>
    <w:multiLevelType w:val="hybridMultilevel"/>
    <w:tmpl w:val="9CE44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9EF08E4"/>
    <w:multiLevelType w:val="hybridMultilevel"/>
    <w:tmpl w:val="843C6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6D135E"/>
    <w:multiLevelType w:val="hybridMultilevel"/>
    <w:tmpl w:val="762AA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3"/>
  </w:num>
  <w:num w:numId="5">
    <w:abstractNumId w:val="12"/>
  </w:num>
  <w:num w:numId="6">
    <w:abstractNumId w:val="11"/>
  </w:num>
  <w:num w:numId="7">
    <w:abstractNumId w:val="6"/>
  </w:num>
  <w:num w:numId="8">
    <w:abstractNumId w:val="2"/>
  </w:num>
  <w:num w:numId="9">
    <w:abstractNumId w:val="9"/>
  </w:num>
  <w:num w:numId="10">
    <w:abstractNumId w:val="3"/>
  </w:num>
  <w:num w:numId="11">
    <w:abstractNumId w:val="4"/>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5AAA"/>
    <w:rsid w:val="00022D5A"/>
    <w:rsid w:val="00037430"/>
    <w:rsid w:val="00042F98"/>
    <w:rsid w:val="00046372"/>
    <w:rsid w:val="00056263"/>
    <w:rsid w:val="00074875"/>
    <w:rsid w:val="0007763A"/>
    <w:rsid w:val="00080420"/>
    <w:rsid w:val="00090D6D"/>
    <w:rsid w:val="000A1189"/>
    <w:rsid w:val="000C3928"/>
    <w:rsid w:val="000D1A7D"/>
    <w:rsid w:val="000D29CD"/>
    <w:rsid w:val="000E72E4"/>
    <w:rsid w:val="0010559E"/>
    <w:rsid w:val="00177257"/>
    <w:rsid w:val="00177C9D"/>
    <w:rsid w:val="00185705"/>
    <w:rsid w:val="001910BE"/>
    <w:rsid w:val="0019467B"/>
    <w:rsid w:val="001C24C8"/>
    <w:rsid w:val="001C4689"/>
    <w:rsid w:val="001C64BC"/>
    <w:rsid w:val="001D35B7"/>
    <w:rsid w:val="001E7842"/>
    <w:rsid w:val="002352B7"/>
    <w:rsid w:val="00254AA0"/>
    <w:rsid w:val="00264331"/>
    <w:rsid w:val="0029280C"/>
    <w:rsid w:val="0029389F"/>
    <w:rsid w:val="002B5E6C"/>
    <w:rsid w:val="002D4C95"/>
    <w:rsid w:val="002F0A78"/>
    <w:rsid w:val="003003B7"/>
    <w:rsid w:val="00313862"/>
    <w:rsid w:val="00336A88"/>
    <w:rsid w:val="0033760A"/>
    <w:rsid w:val="00344259"/>
    <w:rsid w:val="00366043"/>
    <w:rsid w:val="00377CE2"/>
    <w:rsid w:val="00394726"/>
    <w:rsid w:val="003B2567"/>
    <w:rsid w:val="003B4118"/>
    <w:rsid w:val="003C5DCE"/>
    <w:rsid w:val="003D4A1A"/>
    <w:rsid w:val="003F41E4"/>
    <w:rsid w:val="00415507"/>
    <w:rsid w:val="004207BD"/>
    <w:rsid w:val="00435DED"/>
    <w:rsid w:val="00465EAF"/>
    <w:rsid w:val="00471494"/>
    <w:rsid w:val="004825C6"/>
    <w:rsid w:val="004850B1"/>
    <w:rsid w:val="00491FFD"/>
    <w:rsid w:val="00497146"/>
    <w:rsid w:val="004B249B"/>
    <w:rsid w:val="004D696C"/>
    <w:rsid w:val="004F0C53"/>
    <w:rsid w:val="004F1A6C"/>
    <w:rsid w:val="0052634D"/>
    <w:rsid w:val="00536C0B"/>
    <w:rsid w:val="005434C8"/>
    <w:rsid w:val="0056640E"/>
    <w:rsid w:val="00572A11"/>
    <w:rsid w:val="00581C98"/>
    <w:rsid w:val="00583BB3"/>
    <w:rsid w:val="005A5FF9"/>
    <w:rsid w:val="005A67A4"/>
    <w:rsid w:val="00613F97"/>
    <w:rsid w:val="00617945"/>
    <w:rsid w:val="00623C2F"/>
    <w:rsid w:val="0065083A"/>
    <w:rsid w:val="00657D0C"/>
    <w:rsid w:val="0066554D"/>
    <w:rsid w:val="00676B10"/>
    <w:rsid w:val="00690850"/>
    <w:rsid w:val="006C0177"/>
    <w:rsid w:val="006C5A1B"/>
    <w:rsid w:val="006C70B0"/>
    <w:rsid w:val="006E3B55"/>
    <w:rsid w:val="006F416B"/>
    <w:rsid w:val="00713675"/>
    <w:rsid w:val="00742EA0"/>
    <w:rsid w:val="00744360"/>
    <w:rsid w:val="00754526"/>
    <w:rsid w:val="00763D1D"/>
    <w:rsid w:val="007739D1"/>
    <w:rsid w:val="00776757"/>
    <w:rsid w:val="00783A60"/>
    <w:rsid w:val="007A3D0F"/>
    <w:rsid w:val="007A4B87"/>
    <w:rsid w:val="007B6E54"/>
    <w:rsid w:val="007E6443"/>
    <w:rsid w:val="00831209"/>
    <w:rsid w:val="00837C1F"/>
    <w:rsid w:val="00844EF9"/>
    <w:rsid w:val="00847060"/>
    <w:rsid w:val="00854132"/>
    <w:rsid w:val="00855C66"/>
    <w:rsid w:val="00870F4E"/>
    <w:rsid w:val="00886075"/>
    <w:rsid w:val="008970C3"/>
    <w:rsid w:val="008D3DDB"/>
    <w:rsid w:val="008E24E7"/>
    <w:rsid w:val="009169E7"/>
    <w:rsid w:val="0094133F"/>
    <w:rsid w:val="0096528B"/>
    <w:rsid w:val="00971689"/>
    <w:rsid w:val="0097170A"/>
    <w:rsid w:val="00973E90"/>
    <w:rsid w:val="00983C9C"/>
    <w:rsid w:val="009C357B"/>
    <w:rsid w:val="009C5C8F"/>
    <w:rsid w:val="009D0F1B"/>
    <w:rsid w:val="009E42D9"/>
    <w:rsid w:val="00A200F5"/>
    <w:rsid w:val="00A64E91"/>
    <w:rsid w:val="00A71E26"/>
    <w:rsid w:val="00A92D8F"/>
    <w:rsid w:val="00AA28E0"/>
    <w:rsid w:val="00AD3292"/>
    <w:rsid w:val="00AD678C"/>
    <w:rsid w:val="00AE1F56"/>
    <w:rsid w:val="00AE5AB8"/>
    <w:rsid w:val="00B058D5"/>
    <w:rsid w:val="00B26E2A"/>
    <w:rsid w:val="00B352BD"/>
    <w:rsid w:val="00B36435"/>
    <w:rsid w:val="00B56C75"/>
    <w:rsid w:val="00B5766A"/>
    <w:rsid w:val="00B77691"/>
    <w:rsid w:val="00B80626"/>
    <w:rsid w:val="00BA1C5A"/>
    <w:rsid w:val="00BA3638"/>
    <w:rsid w:val="00BA40CD"/>
    <w:rsid w:val="00BA5ABE"/>
    <w:rsid w:val="00BA600C"/>
    <w:rsid w:val="00BB0997"/>
    <w:rsid w:val="00BB0BA0"/>
    <w:rsid w:val="00BB6C40"/>
    <w:rsid w:val="00BD2BF5"/>
    <w:rsid w:val="00BD45A8"/>
    <w:rsid w:val="00BE125B"/>
    <w:rsid w:val="00C12CB4"/>
    <w:rsid w:val="00C2692F"/>
    <w:rsid w:val="00C342EA"/>
    <w:rsid w:val="00C65CC1"/>
    <w:rsid w:val="00C75777"/>
    <w:rsid w:val="00C82C7D"/>
    <w:rsid w:val="00CB0451"/>
    <w:rsid w:val="00CC3662"/>
    <w:rsid w:val="00CC44CF"/>
    <w:rsid w:val="00CC604C"/>
    <w:rsid w:val="00CD6EF2"/>
    <w:rsid w:val="00CE4DBE"/>
    <w:rsid w:val="00D01E53"/>
    <w:rsid w:val="00D23A89"/>
    <w:rsid w:val="00D33068"/>
    <w:rsid w:val="00D33568"/>
    <w:rsid w:val="00D4601E"/>
    <w:rsid w:val="00D66A8E"/>
    <w:rsid w:val="00D72C2D"/>
    <w:rsid w:val="00DA7A03"/>
    <w:rsid w:val="00DC0FBB"/>
    <w:rsid w:val="00E01F42"/>
    <w:rsid w:val="00E35DD4"/>
    <w:rsid w:val="00E35F04"/>
    <w:rsid w:val="00E37135"/>
    <w:rsid w:val="00E4348B"/>
    <w:rsid w:val="00E46383"/>
    <w:rsid w:val="00E660D7"/>
    <w:rsid w:val="00E918B8"/>
    <w:rsid w:val="00E931CB"/>
    <w:rsid w:val="00EA0DB1"/>
    <w:rsid w:val="00EA1A00"/>
    <w:rsid w:val="00EA2FDD"/>
    <w:rsid w:val="00ED7C49"/>
    <w:rsid w:val="00EE3A3C"/>
    <w:rsid w:val="00EE4BF6"/>
    <w:rsid w:val="00EE758D"/>
    <w:rsid w:val="00F13732"/>
    <w:rsid w:val="00F4367A"/>
    <w:rsid w:val="00F7606D"/>
    <w:rsid w:val="00F83E07"/>
    <w:rsid w:val="00F85C5C"/>
    <w:rsid w:val="00FA624C"/>
    <w:rsid w:val="00FA6715"/>
    <w:rsid w:val="00FA76FD"/>
    <w:rsid w:val="00FB36D5"/>
    <w:rsid w:val="00FC431B"/>
    <w:rsid w:val="00FD0D4F"/>
    <w:rsid w:val="00FD34CA"/>
    <w:rsid w:val="00FD642B"/>
    <w:rsid w:val="00FE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676B10"/>
    <w:pPr>
      <w:ind w:left="720"/>
      <w:contextualSpacing/>
    </w:pPr>
  </w:style>
  <w:style w:type="paragraph" w:styleId="FootnoteText">
    <w:name w:val="footnote text"/>
    <w:basedOn w:val="Normal"/>
    <w:link w:val="FootnoteTextChar"/>
    <w:rsid w:val="00BA600C"/>
    <w:rPr>
      <w:sz w:val="20"/>
      <w:szCs w:val="20"/>
    </w:rPr>
  </w:style>
  <w:style w:type="character" w:customStyle="1" w:styleId="FootnoteTextChar">
    <w:name w:val="Footnote Text Char"/>
    <w:basedOn w:val="DefaultParagraphFont"/>
    <w:link w:val="FootnoteText"/>
    <w:rsid w:val="00BA600C"/>
    <w:rPr>
      <w:rFonts w:ascii="Arial" w:hAnsi="Arial"/>
      <w:lang w:eastAsia="en-US"/>
    </w:rPr>
  </w:style>
  <w:style w:type="character" w:styleId="FootnoteReference">
    <w:name w:val="footnote reference"/>
    <w:basedOn w:val="DefaultParagraphFont"/>
    <w:rsid w:val="00BA600C"/>
    <w:rPr>
      <w:vertAlign w:val="superscript"/>
    </w:rPr>
  </w:style>
  <w:style w:type="paragraph" w:styleId="BodyText">
    <w:name w:val="Body Text"/>
    <w:basedOn w:val="Normal"/>
    <w:link w:val="BodyTextChar"/>
    <w:rsid w:val="007739D1"/>
    <w:pPr>
      <w:jc w:val="both"/>
    </w:pPr>
    <w:rPr>
      <w:rFonts w:ascii="Times New Roman" w:hAnsi="Times New Roman"/>
      <w:szCs w:val="20"/>
    </w:rPr>
  </w:style>
  <w:style w:type="character" w:customStyle="1" w:styleId="BodyTextChar">
    <w:name w:val="Body Text Char"/>
    <w:basedOn w:val="DefaultParagraphFont"/>
    <w:link w:val="BodyText"/>
    <w:rsid w:val="007739D1"/>
    <w:rPr>
      <w:sz w:val="24"/>
      <w:lang w:eastAsia="en-US"/>
    </w:rPr>
  </w:style>
  <w:style w:type="paragraph" w:styleId="BodyText2">
    <w:name w:val="Body Text 2"/>
    <w:basedOn w:val="Normal"/>
    <w:link w:val="BodyText2Char"/>
    <w:rsid w:val="007739D1"/>
    <w:pPr>
      <w:spacing w:after="120" w:line="480" w:lineRule="auto"/>
    </w:pPr>
  </w:style>
  <w:style w:type="character" w:customStyle="1" w:styleId="BodyText2Char">
    <w:name w:val="Body Text 2 Char"/>
    <w:basedOn w:val="DefaultParagraphFont"/>
    <w:link w:val="BodyText2"/>
    <w:rsid w:val="007739D1"/>
    <w:rPr>
      <w:rFonts w:ascii="Arial" w:hAnsi="Arial"/>
      <w:sz w:val="24"/>
      <w:szCs w:val="24"/>
      <w:lang w:eastAsia="en-US"/>
    </w:rPr>
  </w:style>
  <w:style w:type="table" w:styleId="TableGrid">
    <w:name w:val="Table Grid"/>
    <w:basedOn w:val="TableNormal"/>
    <w:rsid w:val="004B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winship@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A387C-E16A-4DCC-A142-22878AC9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F758D810</Template>
  <TotalTime>15</TotalTime>
  <Pages>1</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Anna Winship</cp:lastModifiedBy>
  <cp:revision>5</cp:revision>
  <cp:lastPrinted>2015-01-15T15:35:00Z</cp:lastPrinted>
  <dcterms:created xsi:type="dcterms:W3CDTF">2015-01-20T11:28:00Z</dcterms:created>
  <dcterms:modified xsi:type="dcterms:W3CDTF">2015-01-20T11:43:00Z</dcterms:modified>
</cp:coreProperties>
</file>